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2E" w:rsidRPr="00FB7926" w:rsidRDefault="00844F33" w:rsidP="00FB7926">
      <w:pPr>
        <w:spacing w:line="360" w:lineRule="auto"/>
        <w:jc w:val="center"/>
        <w:rPr>
          <w:rFonts w:ascii="Arial" w:eastAsia="Times New Roman" w:hAnsi="Arial" w:cs="Arial"/>
          <w:b/>
          <w:sz w:val="24"/>
          <w:szCs w:val="24"/>
          <w:u w:val="single"/>
        </w:rPr>
      </w:pPr>
      <w:r w:rsidRPr="00FB7926">
        <w:rPr>
          <w:rFonts w:ascii="Arial" w:eastAsia="Times New Roman" w:hAnsi="Arial" w:cs="Arial"/>
          <w:b/>
          <w:sz w:val="24"/>
          <w:szCs w:val="24"/>
          <w:u w:val="single"/>
        </w:rPr>
        <w:t>GLOSARIO</w:t>
      </w:r>
      <w:r w:rsidRPr="00FB7926">
        <w:rPr>
          <w:rFonts w:ascii="Arial" w:eastAsia="Times New Roman" w:hAnsi="Arial" w:cs="Arial"/>
          <w:b/>
          <w:sz w:val="24"/>
          <w:szCs w:val="24"/>
          <w:u w:val="single"/>
          <w:vertAlign w:val="superscript"/>
        </w:rPr>
        <w:footnoteReference w:id="1"/>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AARR:</w:t>
      </w:r>
      <w:r w:rsidRPr="00FB7926">
        <w:rPr>
          <w:rFonts w:ascii="Arial" w:eastAsia="Times New Roman" w:hAnsi="Arial" w:cs="Arial"/>
          <w:sz w:val="24"/>
          <w:szCs w:val="24"/>
        </w:rPr>
        <w:t xml:space="preserve"> Actividades Reservadas Profesionales. Son un subconjunto de Alcance o Incumbencias e incluyen sólo las actividades que suponen riesgo directo. Algunas AARR pueden ser compartidas por más de una profesión, lo que significa que todos los graduados de las ca</w:t>
      </w:r>
      <w:r w:rsidRPr="00FB7926">
        <w:rPr>
          <w:rFonts w:ascii="Arial" w:eastAsia="Times New Roman" w:hAnsi="Arial" w:cs="Arial"/>
          <w:sz w:val="24"/>
          <w:szCs w:val="24"/>
        </w:rPr>
        <w:t>rreras que comparten una actividad reservada pueden ejercerla.</w:t>
      </w:r>
      <w:r w:rsidRPr="00FB7926">
        <w:rPr>
          <w:rFonts w:ascii="Arial" w:eastAsia="Times New Roman" w:hAnsi="Arial" w:cs="Arial"/>
          <w:sz w:val="24"/>
          <w:szCs w:val="24"/>
          <w:vertAlign w:val="superscript"/>
        </w:rPr>
        <w:footnoteReference w:id="2"/>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ACE:</w:t>
      </w:r>
      <w:r w:rsidRPr="00FB7926">
        <w:rPr>
          <w:rFonts w:ascii="Arial" w:eastAsia="Times New Roman" w:hAnsi="Arial" w:cs="Arial"/>
          <w:sz w:val="24"/>
          <w:szCs w:val="24"/>
        </w:rPr>
        <w:t xml:space="preserve"> Aprendizaje Centrado en el Estudiante.</w:t>
      </w:r>
      <w:r w:rsidRPr="00FB7926">
        <w:rPr>
          <w:rFonts w:ascii="Arial" w:eastAsia="Times New Roman" w:hAnsi="Arial" w:cs="Arial"/>
          <w:sz w:val="24"/>
          <w:szCs w:val="24"/>
          <w:vertAlign w:val="superscript"/>
        </w:rPr>
        <w:footnoteReference w:id="3"/>
      </w:r>
    </w:p>
    <w:p w:rsidR="003D432E" w:rsidRPr="00FB7926" w:rsidRDefault="00844F33" w:rsidP="00FB7926">
      <w:pPr>
        <w:spacing w:line="360" w:lineRule="auto"/>
        <w:jc w:val="both"/>
        <w:rPr>
          <w:rFonts w:ascii="Arial" w:eastAsia="Times New Roman" w:hAnsi="Arial" w:cs="Arial"/>
          <w:sz w:val="24"/>
          <w:szCs w:val="24"/>
          <w:vertAlign w:val="superscript"/>
        </w:rPr>
      </w:pPr>
      <w:r w:rsidRPr="00FB7926">
        <w:rPr>
          <w:rFonts w:ascii="Arial" w:eastAsia="Times New Roman" w:hAnsi="Arial" w:cs="Arial"/>
          <w:b/>
          <w:sz w:val="24"/>
          <w:szCs w:val="24"/>
        </w:rPr>
        <w:t>ACEDI:</w:t>
      </w:r>
      <w:r w:rsidRPr="00FB7926">
        <w:rPr>
          <w:rFonts w:ascii="Arial" w:eastAsia="Times New Roman" w:hAnsi="Arial" w:cs="Arial"/>
          <w:sz w:val="24"/>
          <w:szCs w:val="24"/>
        </w:rPr>
        <w:t xml:space="preserve"> Aprendizaje Centrado en el Estudiante de Ingeniería</w:t>
      </w:r>
      <w:r w:rsidRPr="00FB7926">
        <w:rPr>
          <w:rFonts w:ascii="Arial" w:eastAsia="Times New Roman" w:hAnsi="Arial" w:cs="Arial"/>
          <w:sz w:val="24"/>
          <w:szCs w:val="24"/>
          <w:vertAlign w:val="superscript"/>
        </w:rPr>
        <w:footnoteReference w:id="4"/>
      </w:r>
    </w:p>
    <w:p w:rsidR="003D432E" w:rsidRPr="00FB7926" w:rsidRDefault="00844F33" w:rsidP="00FB7926">
      <w:pPr>
        <w:spacing w:line="360" w:lineRule="auto"/>
        <w:jc w:val="both"/>
        <w:rPr>
          <w:rFonts w:ascii="Arial" w:eastAsia="Times New Roman" w:hAnsi="Arial" w:cs="Arial"/>
          <w:b/>
          <w:sz w:val="24"/>
          <w:szCs w:val="24"/>
        </w:rPr>
      </w:pPr>
      <w:r w:rsidRPr="00FB7926">
        <w:rPr>
          <w:rFonts w:ascii="Arial" w:eastAsia="Times New Roman" w:hAnsi="Arial" w:cs="Arial"/>
          <w:b/>
          <w:sz w:val="24"/>
          <w:szCs w:val="24"/>
        </w:rPr>
        <w:t>ACREDITACIÓN:</w:t>
      </w:r>
      <w:r w:rsidRPr="00FB7926">
        <w:rPr>
          <w:rFonts w:ascii="Arial" w:eastAsia="Times New Roman" w:hAnsi="Arial" w:cs="Arial"/>
          <w:sz w:val="24"/>
          <w:szCs w:val="24"/>
        </w:rPr>
        <w:t xml:space="preserve"> </w:t>
      </w:r>
      <w:r w:rsidRPr="00FB7926">
        <w:rPr>
          <w:rFonts w:ascii="Arial" w:eastAsia="Times New Roman" w:hAnsi="Arial" w:cs="Arial"/>
          <w:sz w:val="24"/>
          <w:szCs w:val="24"/>
        </w:rPr>
        <w:t>es un proceso voluntario al que se someten las instituciones de Educaci</w:t>
      </w:r>
      <w:r w:rsidRPr="00FB7926">
        <w:rPr>
          <w:rFonts w:ascii="Arial" w:eastAsia="Times New Roman" w:hAnsi="Arial" w:cs="Arial"/>
          <w:sz w:val="24"/>
          <w:szCs w:val="24"/>
        </w:rPr>
        <w:t>ón Superior autónomas, para contar con una certificación pública de calidad de sus procesos internos y resultados.</w:t>
      </w:r>
      <w:r w:rsidRPr="00FB7926">
        <w:rPr>
          <w:rFonts w:ascii="Arial" w:eastAsia="Roboto" w:hAnsi="Arial" w:cs="Arial"/>
          <w:color w:val="333333"/>
          <w:sz w:val="24"/>
          <w:szCs w:val="24"/>
          <w:highlight w:val="white"/>
        </w:rPr>
        <w:t xml:space="preserve"> </w:t>
      </w:r>
      <w:r w:rsidRPr="00FB7926">
        <w:rPr>
          <w:rFonts w:ascii="Arial" w:eastAsia="Times New Roman" w:hAnsi="Arial" w:cs="Arial"/>
          <w:sz w:val="24"/>
          <w:szCs w:val="24"/>
        </w:rPr>
        <w:t>En Argentina está vinculada a la evaluación externa de carreras declaradas de interés público. La agencia que emite resolución de acreditació</w:t>
      </w:r>
      <w:r w:rsidRPr="00FB7926">
        <w:rPr>
          <w:rFonts w:ascii="Arial" w:eastAsia="Times New Roman" w:hAnsi="Arial" w:cs="Arial"/>
          <w:sz w:val="24"/>
          <w:szCs w:val="24"/>
        </w:rPr>
        <w:t xml:space="preserve">n es la Comisión Nacional de Evaluación y Acreditación Universitaria (CONEAU). </w:t>
      </w:r>
      <w:r w:rsidRPr="00FB7926">
        <w:rPr>
          <w:rFonts w:ascii="Arial" w:eastAsia="Times New Roman" w:hAnsi="Arial" w:cs="Arial"/>
          <w:b/>
          <w:sz w:val="24"/>
          <w:szCs w:val="24"/>
          <w:vertAlign w:val="superscript"/>
        </w:rPr>
        <w:footnoteReference w:id="5"/>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ASIBEI</w:t>
      </w:r>
      <w:r w:rsidRPr="00FB7926">
        <w:rPr>
          <w:rFonts w:ascii="Arial" w:eastAsia="Times New Roman" w:hAnsi="Arial" w:cs="Arial"/>
          <w:sz w:val="24"/>
          <w:szCs w:val="24"/>
        </w:rPr>
        <w:t xml:space="preserve">: </w:t>
      </w:r>
      <w:r w:rsidR="00FB7926" w:rsidRPr="00FB7926">
        <w:rPr>
          <w:rFonts w:ascii="Arial" w:eastAsia="Times New Roman" w:hAnsi="Arial" w:cs="Arial"/>
          <w:sz w:val="24"/>
          <w:szCs w:val="24"/>
        </w:rPr>
        <w:t>Asociación</w:t>
      </w:r>
      <w:r w:rsidRPr="00FB7926">
        <w:rPr>
          <w:rFonts w:ascii="Arial" w:eastAsia="Times New Roman" w:hAnsi="Arial" w:cs="Arial"/>
          <w:sz w:val="24"/>
          <w:szCs w:val="24"/>
        </w:rPr>
        <w:t xml:space="preserve"> Iberoamericana de Enseñanza de la </w:t>
      </w:r>
      <w:r w:rsidR="00FB7926" w:rsidRPr="00FB7926">
        <w:rPr>
          <w:rFonts w:ascii="Arial" w:eastAsia="Times New Roman" w:hAnsi="Arial" w:cs="Arial"/>
          <w:sz w:val="24"/>
          <w:szCs w:val="24"/>
        </w:rPr>
        <w:t>Ingeniería</w:t>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COMPETENCIAS</w:t>
      </w:r>
      <w:r w:rsidRPr="00FB7926">
        <w:rPr>
          <w:rFonts w:ascii="Arial" w:eastAsia="Times New Roman" w:hAnsi="Arial" w:cs="Arial"/>
          <w:sz w:val="24"/>
          <w:szCs w:val="24"/>
        </w:rPr>
        <w:t>: “Se refiere a la capacidad de articular eficazmente un conjunto de esquemas y valores, permitiendo</w:t>
      </w:r>
      <w:r w:rsidRPr="00FB7926">
        <w:rPr>
          <w:rFonts w:ascii="Arial" w:eastAsia="Times New Roman" w:hAnsi="Arial" w:cs="Arial"/>
          <w:sz w:val="24"/>
          <w:szCs w:val="24"/>
        </w:rPr>
        <w:t xml:space="preserve"> movilizar distintos saberes, en un determinado contexto con el fin de resolver situaciones profesionales". Las competencias aluden a capacidades complejas e integradas, que están relacionadas no sólo con el conocimiento, sino también con el conocimiento p</w:t>
      </w:r>
      <w:r w:rsidRPr="00FB7926">
        <w:rPr>
          <w:rFonts w:ascii="Arial" w:eastAsia="Times New Roman" w:hAnsi="Arial" w:cs="Arial"/>
          <w:sz w:val="24"/>
          <w:szCs w:val="24"/>
        </w:rPr>
        <w:t xml:space="preserve">uesto en práctica, o sea, con el saber hacer. Además, están referidas al contexto </w:t>
      </w:r>
      <w:r w:rsidRPr="00FB7926">
        <w:rPr>
          <w:rFonts w:ascii="Arial" w:eastAsia="Times New Roman" w:hAnsi="Arial" w:cs="Arial"/>
          <w:sz w:val="24"/>
          <w:szCs w:val="24"/>
        </w:rPr>
        <w:lastRenderedPageBreak/>
        <w:t>y al desempe</w:t>
      </w:r>
      <w:r w:rsidR="00FB7926">
        <w:rPr>
          <w:rFonts w:ascii="Arial" w:eastAsia="Times New Roman" w:hAnsi="Arial" w:cs="Arial"/>
          <w:sz w:val="24"/>
          <w:szCs w:val="24"/>
        </w:rPr>
        <w:t>ño profesional que se pretende</w:t>
      </w:r>
      <w:r w:rsidRPr="00FB7926">
        <w:rPr>
          <w:rFonts w:ascii="Arial" w:eastAsia="Times New Roman" w:hAnsi="Arial" w:cs="Arial"/>
          <w:sz w:val="24"/>
          <w:szCs w:val="24"/>
        </w:rPr>
        <w:t>, asimismo, permiten incorporar la ética y los valores”</w:t>
      </w:r>
      <w:r w:rsidRPr="00FB7926">
        <w:rPr>
          <w:rFonts w:ascii="Arial" w:eastAsia="Times New Roman" w:hAnsi="Arial" w:cs="Arial"/>
          <w:sz w:val="24"/>
          <w:szCs w:val="24"/>
          <w:vertAlign w:val="superscript"/>
        </w:rPr>
        <w:footnoteReference w:id="6"/>
      </w:r>
      <w:r w:rsidRPr="00FB7926">
        <w:rPr>
          <w:rFonts w:ascii="Arial" w:eastAsia="Times New Roman" w:hAnsi="Arial" w:cs="Arial"/>
          <w:sz w:val="24"/>
          <w:szCs w:val="24"/>
        </w:rPr>
        <w:t>.</w:t>
      </w:r>
    </w:p>
    <w:p w:rsidR="003D432E" w:rsidRPr="00FB7926" w:rsidRDefault="00844F33" w:rsidP="00FB7926">
      <w:pPr>
        <w:pBdr>
          <w:top w:val="nil"/>
          <w:left w:val="nil"/>
          <w:bottom w:val="nil"/>
          <w:right w:val="nil"/>
          <w:between w:val="nil"/>
        </w:pBdr>
        <w:spacing w:line="360" w:lineRule="auto"/>
        <w:jc w:val="both"/>
        <w:rPr>
          <w:rFonts w:ascii="Arial" w:eastAsia="Times New Roman" w:hAnsi="Arial" w:cs="Arial"/>
          <w:sz w:val="24"/>
          <w:szCs w:val="24"/>
        </w:rPr>
      </w:pPr>
      <w:r w:rsidRPr="00FB7926">
        <w:rPr>
          <w:rFonts w:ascii="Arial" w:eastAsia="Times New Roman" w:hAnsi="Arial" w:cs="Arial"/>
          <w:sz w:val="24"/>
          <w:szCs w:val="24"/>
        </w:rPr>
        <w:t>“Procesos complejos de desempeño con idoneidad en determinados contextos, integrando diferentes saberes (saber ser, saber hacer, saber conocer y saber</w:t>
      </w:r>
      <w:r w:rsidR="00FB7926">
        <w:rPr>
          <w:rFonts w:ascii="Arial" w:eastAsia="Times New Roman" w:hAnsi="Arial" w:cs="Arial"/>
          <w:sz w:val="24"/>
          <w:szCs w:val="24"/>
        </w:rPr>
        <w:t xml:space="preserve"> </w:t>
      </w:r>
      <w:r w:rsidRPr="00FB7926">
        <w:rPr>
          <w:rFonts w:ascii="Arial" w:eastAsia="Times New Roman" w:hAnsi="Arial" w:cs="Arial"/>
          <w:sz w:val="24"/>
          <w:szCs w:val="24"/>
        </w:rPr>
        <w:t>convivir), para realizar actividades y/o resolver problemas con sentido de reto, motivación, flexibilidad,</w:t>
      </w:r>
      <w:r w:rsidRPr="00FB7926">
        <w:rPr>
          <w:rFonts w:ascii="Arial" w:eastAsia="Times New Roman" w:hAnsi="Arial" w:cs="Arial"/>
          <w:sz w:val="24"/>
          <w:szCs w:val="24"/>
        </w:rPr>
        <w:t xml:space="preserve"> creatividad, comprensión y emprendimiento, dentro de una perspectiva de procesamiento </w:t>
      </w:r>
      <w:proofErr w:type="spellStart"/>
      <w:r w:rsidRPr="00FB7926">
        <w:rPr>
          <w:rFonts w:ascii="Arial" w:eastAsia="Times New Roman" w:hAnsi="Arial" w:cs="Arial"/>
          <w:sz w:val="24"/>
          <w:szCs w:val="24"/>
        </w:rPr>
        <w:t>metacognitivo</w:t>
      </w:r>
      <w:proofErr w:type="spellEnd"/>
      <w:r w:rsidRPr="00FB7926">
        <w:rPr>
          <w:rFonts w:ascii="Arial" w:eastAsia="Times New Roman" w:hAnsi="Arial" w:cs="Arial"/>
          <w:sz w:val="24"/>
          <w:szCs w:val="24"/>
        </w:rPr>
        <w:t>, mejoramiento continuo y compromiso ético, con la meta de contribuir al desarrollo personal, la construcción y afianzamiento del tejido social, la búsqueda</w:t>
      </w:r>
      <w:r w:rsidRPr="00FB7926">
        <w:rPr>
          <w:rFonts w:ascii="Arial" w:eastAsia="Times New Roman" w:hAnsi="Arial" w:cs="Arial"/>
          <w:sz w:val="24"/>
          <w:szCs w:val="24"/>
        </w:rPr>
        <w:t xml:space="preserve"> continua del desarrollo económico-empresarial sostenible, y el cuidado y protección del ambiente y de las especies vivas.”</w:t>
      </w:r>
      <w:r w:rsidRPr="00FB7926">
        <w:rPr>
          <w:rFonts w:ascii="Arial" w:eastAsia="Times New Roman" w:hAnsi="Arial" w:cs="Arial"/>
          <w:sz w:val="24"/>
          <w:szCs w:val="24"/>
          <w:vertAlign w:val="superscript"/>
        </w:rPr>
        <w:footnoteReference w:id="7"/>
      </w:r>
    </w:p>
    <w:p w:rsidR="003D432E" w:rsidRPr="00FB7926" w:rsidRDefault="00844F33" w:rsidP="00FB7926">
      <w:pPr>
        <w:spacing w:line="360" w:lineRule="auto"/>
        <w:jc w:val="both"/>
        <w:rPr>
          <w:rFonts w:ascii="Arial" w:eastAsia="Times New Roman" w:hAnsi="Arial" w:cs="Arial"/>
          <w:sz w:val="24"/>
          <w:szCs w:val="24"/>
          <w:vertAlign w:val="superscript"/>
        </w:rPr>
      </w:pPr>
      <w:r w:rsidRPr="00FB7926">
        <w:rPr>
          <w:rFonts w:ascii="Arial" w:eastAsia="Times New Roman" w:hAnsi="Arial" w:cs="Arial"/>
          <w:b/>
          <w:sz w:val="24"/>
          <w:szCs w:val="24"/>
        </w:rPr>
        <w:t>COMPETENCIAS ESPECÍFICAS</w:t>
      </w:r>
      <w:r w:rsidRPr="00FB7926">
        <w:rPr>
          <w:rFonts w:ascii="Arial" w:eastAsia="Times New Roman" w:hAnsi="Arial" w:cs="Arial"/>
          <w:sz w:val="24"/>
          <w:szCs w:val="24"/>
        </w:rPr>
        <w:t>: son las competencias profesionales comunes a los ingenieros de una misma terminal (especialidad). Las mis</w:t>
      </w:r>
      <w:r w:rsidRPr="00FB7926">
        <w:rPr>
          <w:rFonts w:ascii="Arial" w:eastAsia="Times New Roman" w:hAnsi="Arial" w:cs="Arial"/>
          <w:sz w:val="24"/>
          <w:szCs w:val="24"/>
        </w:rPr>
        <w:t>mas están subordinadas a las AARR de cada título</w:t>
      </w:r>
      <w:r w:rsidR="00227FE9">
        <w:rPr>
          <w:rFonts w:ascii="Arial" w:eastAsia="Times New Roman" w:hAnsi="Arial" w:cs="Arial"/>
          <w:sz w:val="24"/>
          <w:szCs w:val="24"/>
        </w:rPr>
        <w:t>.</w:t>
      </w:r>
      <w:r w:rsidRPr="00FB7926">
        <w:rPr>
          <w:rFonts w:ascii="Arial" w:eastAsia="Times New Roman" w:hAnsi="Arial" w:cs="Arial"/>
          <w:sz w:val="24"/>
          <w:szCs w:val="24"/>
          <w:vertAlign w:val="superscript"/>
        </w:rPr>
        <w:footnoteReference w:id="8"/>
      </w:r>
    </w:p>
    <w:p w:rsidR="003D432E" w:rsidRPr="00FB7926" w:rsidRDefault="00844F33" w:rsidP="00FB7926">
      <w:pPr>
        <w:spacing w:line="360" w:lineRule="auto"/>
        <w:jc w:val="both"/>
        <w:rPr>
          <w:rFonts w:ascii="Arial" w:eastAsia="Times New Roman" w:hAnsi="Arial" w:cs="Arial"/>
          <w:sz w:val="24"/>
          <w:szCs w:val="24"/>
          <w:vertAlign w:val="superscript"/>
        </w:rPr>
      </w:pPr>
      <w:r w:rsidRPr="00FB7926">
        <w:rPr>
          <w:rFonts w:ascii="Arial" w:eastAsia="Times New Roman" w:hAnsi="Arial" w:cs="Arial"/>
          <w:b/>
          <w:sz w:val="24"/>
          <w:szCs w:val="24"/>
        </w:rPr>
        <w:t>COMPETENCIAS GENÉRICAS:</w:t>
      </w:r>
      <w:r w:rsidRPr="00FB7926">
        <w:rPr>
          <w:rFonts w:ascii="Arial" w:eastAsia="Times New Roman" w:hAnsi="Arial" w:cs="Arial"/>
          <w:sz w:val="24"/>
          <w:szCs w:val="24"/>
        </w:rPr>
        <w:t xml:space="preserve"> Son las competencias profesionales comunes a todos los ingenieros. Incluyen 5 competencias Tecnológicas y 5 Sociales, Políticas y Actitudinales</w:t>
      </w:r>
      <w:r w:rsidRPr="00FB7926">
        <w:rPr>
          <w:rFonts w:ascii="Arial" w:eastAsia="Times New Roman" w:hAnsi="Arial" w:cs="Arial"/>
          <w:sz w:val="24"/>
          <w:szCs w:val="24"/>
          <w:vertAlign w:val="superscript"/>
        </w:rPr>
        <w:footnoteReference w:id="9"/>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COMPETENCIAS LABORALES</w:t>
      </w:r>
      <w:r w:rsidR="00FB7926" w:rsidRPr="00FB7926">
        <w:rPr>
          <w:rFonts w:ascii="Arial" w:eastAsia="Times New Roman" w:hAnsi="Arial" w:cs="Arial"/>
          <w:b/>
          <w:sz w:val="24"/>
          <w:szCs w:val="24"/>
        </w:rPr>
        <w:t xml:space="preserve">: </w:t>
      </w:r>
      <w:r w:rsidR="00FB7926" w:rsidRPr="00227FE9">
        <w:rPr>
          <w:rFonts w:ascii="Arial" w:eastAsia="Times New Roman" w:hAnsi="Arial" w:cs="Arial"/>
          <w:sz w:val="24"/>
          <w:szCs w:val="24"/>
        </w:rPr>
        <w:t>se</w:t>
      </w:r>
      <w:r w:rsidRPr="00FB7926">
        <w:rPr>
          <w:rFonts w:ascii="Arial" w:eastAsia="Times New Roman" w:hAnsi="Arial" w:cs="Arial"/>
          <w:sz w:val="24"/>
          <w:szCs w:val="24"/>
        </w:rPr>
        <w:t xml:space="preserve"> incluyen </w:t>
      </w:r>
      <w:r w:rsidRPr="00FB7926">
        <w:rPr>
          <w:rFonts w:ascii="Arial" w:eastAsia="Times New Roman" w:hAnsi="Arial" w:cs="Arial"/>
          <w:sz w:val="24"/>
          <w:szCs w:val="24"/>
        </w:rPr>
        <w:t xml:space="preserve">en esta categoría a aquellas que </w:t>
      </w:r>
      <w:r w:rsidR="00227FE9">
        <w:rPr>
          <w:rFonts w:ascii="Arial" w:eastAsia="Times New Roman" w:hAnsi="Arial" w:cs="Arial"/>
          <w:sz w:val="24"/>
          <w:szCs w:val="24"/>
        </w:rPr>
        <w:t>implican</w:t>
      </w:r>
      <w:r w:rsidRPr="00FB7926">
        <w:rPr>
          <w:rFonts w:ascii="Arial" w:eastAsia="Times New Roman" w:hAnsi="Arial" w:cs="Arial"/>
          <w:sz w:val="24"/>
          <w:szCs w:val="24"/>
        </w:rPr>
        <w:t xml:space="preserve"> la articulación de conocimientos, aptitudes y actitudes para el mundo del trabajo. Forman parte de la dimensión profesional definida en el perfil de ingeniero iberoamericano.</w:t>
      </w:r>
      <w:r w:rsidRPr="00FB7926">
        <w:rPr>
          <w:rFonts w:ascii="Arial" w:eastAsia="Times New Roman" w:hAnsi="Arial" w:cs="Arial"/>
          <w:sz w:val="24"/>
          <w:szCs w:val="24"/>
          <w:vertAlign w:val="superscript"/>
        </w:rPr>
        <w:footnoteReference w:id="10"/>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CONFEDI:</w:t>
      </w:r>
      <w:r w:rsidRPr="00FB7926">
        <w:rPr>
          <w:rFonts w:ascii="Arial" w:eastAsia="Times New Roman" w:hAnsi="Arial" w:cs="Arial"/>
          <w:sz w:val="24"/>
          <w:szCs w:val="24"/>
        </w:rPr>
        <w:t xml:space="preserve"> Consejo Federal de Decanos de Inge</w:t>
      </w:r>
      <w:r w:rsidRPr="00FB7926">
        <w:rPr>
          <w:rFonts w:ascii="Arial" w:eastAsia="Times New Roman" w:hAnsi="Arial" w:cs="Arial"/>
          <w:sz w:val="24"/>
          <w:szCs w:val="24"/>
        </w:rPr>
        <w:t>niería</w:t>
      </w:r>
      <w:r w:rsidR="00227FE9">
        <w:rPr>
          <w:rFonts w:ascii="Arial" w:eastAsia="Times New Roman" w:hAnsi="Arial" w:cs="Arial"/>
          <w:sz w:val="24"/>
          <w:szCs w:val="24"/>
        </w:rPr>
        <w:t>.</w:t>
      </w:r>
    </w:p>
    <w:p w:rsidR="003D432E" w:rsidRPr="00FB7926" w:rsidRDefault="00844F33" w:rsidP="00FB7926">
      <w:pPr>
        <w:spacing w:line="360" w:lineRule="auto"/>
        <w:jc w:val="both"/>
        <w:rPr>
          <w:rFonts w:ascii="Arial" w:eastAsia="Times New Roman" w:hAnsi="Arial" w:cs="Arial"/>
          <w:sz w:val="24"/>
          <w:szCs w:val="24"/>
          <w:vertAlign w:val="superscript"/>
        </w:rPr>
      </w:pPr>
      <w:r w:rsidRPr="00FB7926">
        <w:rPr>
          <w:rFonts w:ascii="Arial" w:eastAsia="Times New Roman" w:hAnsi="Arial" w:cs="Arial"/>
          <w:b/>
          <w:sz w:val="24"/>
          <w:szCs w:val="24"/>
        </w:rPr>
        <w:lastRenderedPageBreak/>
        <w:t>CRITERIOS DE EVALUACIÓN</w:t>
      </w:r>
      <w:r w:rsidRPr="00FB7926">
        <w:rPr>
          <w:rFonts w:ascii="Arial" w:eastAsia="Times New Roman" w:hAnsi="Arial" w:cs="Arial"/>
          <w:sz w:val="24"/>
          <w:szCs w:val="24"/>
        </w:rPr>
        <w:t>: Establecen la profundidad, alcance y precisi</w:t>
      </w:r>
      <w:r w:rsidR="00227FE9">
        <w:rPr>
          <w:rFonts w:ascii="Arial" w:eastAsia="Times New Roman" w:hAnsi="Arial" w:cs="Arial"/>
          <w:sz w:val="24"/>
          <w:szCs w:val="24"/>
        </w:rPr>
        <w:t>ón de los RA orientando a cómo é</w:t>
      </w:r>
      <w:r w:rsidRPr="00FB7926">
        <w:rPr>
          <w:rFonts w:ascii="Arial" w:eastAsia="Times New Roman" w:hAnsi="Arial" w:cs="Arial"/>
          <w:sz w:val="24"/>
          <w:szCs w:val="24"/>
        </w:rPr>
        <w:t xml:space="preserve">ste se concretizará. La evaluación se efectúa como instancia que puede ser formativa, </w:t>
      </w:r>
      <w:proofErr w:type="spellStart"/>
      <w:r w:rsidRPr="00FB7926">
        <w:rPr>
          <w:rFonts w:ascii="Arial" w:eastAsia="Times New Roman" w:hAnsi="Arial" w:cs="Arial"/>
          <w:sz w:val="24"/>
          <w:szCs w:val="24"/>
        </w:rPr>
        <w:t>sumativa</w:t>
      </w:r>
      <w:proofErr w:type="spellEnd"/>
      <w:r w:rsidRPr="00FB7926">
        <w:rPr>
          <w:rFonts w:ascii="Arial" w:eastAsia="Times New Roman" w:hAnsi="Arial" w:cs="Arial"/>
          <w:sz w:val="24"/>
          <w:szCs w:val="24"/>
        </w:rPr>
        <w:t xml:space="preserve"> y/o integradora. Además la evaluación debe </w:t>
      </w:r>
      <w:r w:rsidRPr="00FB7926">
        <w:rPr>
          <w:rFonts w:ascii="Arial" w:eastAsia="Times New Roman" w:hAnsi="Arial" w:cs="Arial"/>
          <w:sz w:val="24"/>
          <w:szCs w:val="24"/>
        </w:rPr>
        <w:t>favorecer</w:t>
      </w:r>
      <w:r w:rsidR="00227FE9">
        <w:rPr>
          <w:rFonts w:ascii="Arial" w:eastAsia="Times New Roman" w:hAnsi="Arial" w:cs="Arial"/>
          <w:sz w:val="24"/>
          <w:szCs w:val="24"/>
        </w:rPr>
        <w:t xml:space="preserve"> </w:t>
      </w:r>
      <w:r w:rsidRPr="00FB7926">
        <w:rPr>
          <w:rFonts w:ascii="Arial" w:eastAsia="Times New Roman" w:hAnsi="Arial" w:cs="Arial"/>
          <w:sz w:val="24"/>
          <w:szCs w:val="24"/>
        </w:rPr>
        <w:t xml:space="preserve"> instancias de: Autoevaluación, Co</w:t>
      </w:r>
      <w:r w:rsidR="00FB7926">
        <w:rPr>
          <w:rFonts w:ascii="Arial" w:eastAsia="Times New Roman" w:hAnsi="Arial" w:cs="Arial"/>
          <w:sz w:val="24"/>
          <w:szCs w:val="24"/>
        </w:rPr>
        <w:t>-</w:t>
      </w:r>
      <w:r w:rsidRPr="00FB7926">
        <w:rPr>
          <w:rFonts w:ascii="Arial" w:eastAsia="Times New Roman" w:hAnsi="Arial" w:cs="Arial"/>
          <w:sz w:val="24"/>
          <w:szCs w:val="24"/>
        </w:rPr>
        <w:t xml:space="preserve">evaluación y </w:t>
      </w:r>
      <w:proofErr w:type="spellStart"/>
      <w:r w:rsidRPr="00FB7926">
        <w:rPr>
          <w:rFonts w:ascii="Arial" w:eastAsia="Times New Roman" w:hAnsi="Arial" w:cs="Arial"/>
          <w:sz w:val="24"/>
          <w:szCs w:val="24"/>
        </w:rPr>
        <w:t>Hete</w:t>
      </w:r>
      <w:r w:rsidRPr="00FB7926">
        <w:rPr>
          <w:rFonts w:ascii="Arial" w:eastAsia="Times New Roman" w:hAnsi="Arial" w:cs="Arial"/>
          <w:sz w:val="24"/>
          <w:szCs w:val="24"/>
        </w:rPr>
        <w:t>ro</w:t>
      </w:r>
      <w:proofErr w:type="spellEnd"/>
      <w:r w:rsidR="00FB7926">
        <w:rPr>
          <w:rFonts w:ascii="Arial" w:eastAsia="Times New Roman" w:hAnsi="Arial" w:cs="Arial"/>
          <w:sz w:val="24"/>
          <w:szCs w:val="24"/>
        </w:rPr>
        <w:t>-</w:t>
      </w:r>
      <w:r w:rsidRPr="00FB7926">
        <w:rPr>
          <w:rFonts w:ascii="Arial" w:eastAsia="Times New Roman" w:hAnsi="Arial" w:cs="Arial"/>
          <w:sz w:val="24"/>
          <w:szCs w:val="24"/>
        </w:rPr>
        <w:t>evaluación.</w:t>
      </w:r>
      <w:r w:rsidRPr="00FB7926">
        <w:rPr>
          <w:rFonts w:ascii="Arial" w:eastAsia="Times New Roman" w:hAnsi="Arial" w:cs="Arial"/>
          <w:sz w:val="24"/>
          <w:szCs w:val="24"/>
          <w:vertAlign w:val="superscript"/>
        </w:rPr>
        <w:footnoteReference w:id="11"/>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CU:</w:t>
      </w:r>
      <w:r w:rsidRPr="00FB7926">
        <w:rPr>
          <w:rFonts w:ascii="Arial" w:eastAsia="Times New Roman" w:hAnsi="Arial" w:cs="Arial"/>
          <w:sz w:val="24"/>
          <w:szCs w:val="24"/>
        </w:rPr>
        <w:t xml:space="preserve"> Consejo de Universidades</w:t>
      </w:r>
      <w:r w:rsidR="00227FE9">
        <w:rPr>
          <w:rFonts w:ascii="Arial" w:eastAsia="Times New Roman" w:hAnsi="Arial" w:cs="Arial"/>
          <w:sz w:val="24"/>
          <w:szCs w:val="24"/>
        </w:rPr>
        <w:t>.</w:t>
      </w:r>
    </w:p>
    <w:p w:rsidR="003D432E" w:rsidRPr="00FB7926" w:rsidRDefault="00844F33" w:rsidP="00FB7926">
      <w:pPr>
        <w:spacing w:line="360" w:lineRule="auto"/>
        <w:jc w:val="both"/>
        <w:rPr>
          <w:rFonts w:ascii="Arial" w:eastAsia="Times New Roman" w:hAnsi="Arial" w:cs="Arial"/>
          <w:sz w:val="24"/>
          <w:szCs w:val="24"/>
        </w:rPr>
      </w:pPr>
      <w:proofErr w:type="spellStart"/>
      <w:r w:rsidRPr="00FB7926">
        <w:rPr>
          <w:rFonts w:ascii="Arial" w:eastAsia="Times New Roman" w:hAnsi="Arial" w:cs="Arial"/>
          <w:b/>
          <w:sz w:val="24"/>
          <w:szCs w:val="24"/>
        </w:rPr>
        <w:t>DENGyFU</w:t>
      </w:r>
      <w:proofErr w:type="spellEnd"/>
      <w:r w:rsidR="00FB7926" w:rsidRPr="00FB7926">
        <w:rPr>
          <w:rFonts w:ascii="Arial" w:eastAsia="Times New Roman" w:hAnsi="Arial" w:cs="Arial"/>
          <w:b/>
          <w:sz w:val="24"/>
          <w:szCs w:val="24"/>
        </w:rPr>
        <w:t>:</w:t>
      </w:r>
      <w:r w:rsidR="00FB7926" w:rsidRPr="00FB7926">
        <w:rPr>
          <w:rFonts w:ascii="Arial" w:eastAsia="Times New Roman" w:hAnsi="Arial" w:cs="Arial"/>
          <w:sz w:val="24"/>
          <w:szCs w:val="24"/>
        </w:rPr>
        <w:t xml:space="preserve"> Dirección</w:t>
      </w:r>
      <w:r w:rsidRPr="00FB7926">
        <w:rPr>
          <w:rFonts w:ascii="Arial" w:eastAsia="Times New Roman" w:hAnsi="Arial" w:cs="Arial"/>
          <w:sz w:val="24"/>
          <w:szCs w:val="24"/>
        </w:rPr>
        <w:t xml:space="preserve"> Nacional de </w:t>
      </w:r>
      <w:r w:rsidR="00FB7926" w:rsidRPr="00FB7926">
        <w:rPr>
          <w:rFonts w:ascii="Arial" w:eastAsia="Times New Roman" w:hAnsi="Arial" w:cs="Arial"/>
          <w:sz w:val="24"/>
          <w:szCs w:val="24"/>
        </w:rPr>
        <w:t>Gestión</w:t>
      </w:r>
      <w:r w:rsidRPr="00FB7926">
        <w:rPr>
          <w:rFonts w:ascii="Arial" w:eastAsia="Times New Roman" w:hAnsi="Arial" w:cs="Arial"/>
          <w:sz w:val="24"/>
          <w:szCs w:val="24"/>
        </w:rPr>
        <w:t xml:space="preserve"> y </w:t>
      </w:r>
      <w:r w:rsidR="00FB7926" w:rsidRPr="00FB7926">
        <w:rPr>
          <w:rFonts w:ascii="Arial" w:eastAsia="Times New Roman" w:hAnsi="Arial" w:cs="Arial"/>
          <w:sz w:val="24"/>
          <w:szCs w:val="24"/>
        </w:rPr>
        <w:t>Fiscalización</w:t>
      </w:r>
      <w:r w:rsidRPr="00FB7926">
        <w:rPr>
          <w:rFonts w:ascii="Arial" w:eastAsia="Times New Roman" w:hAnsi="Arial" w:cs="Arial"/>
          <w:sz w:val="24"/>
          <w:szCs w:val="24"/>
        </w:rPr>
        <w:t xml:space="preserve"> Universitaria</w:t>
      </w:r>
      <w:r w:rsidRPr="00FB7926">
        <w:rPr>
          <w:rFonts w:ascii="Arial" w:eastAsia="Times New Roman" w:hAnsi="Arial" w:cs="Arial"/>
          <w:sz w:val="24"/>
          <w:szCs w:val="24"/>
        </w:rPr>
        <w:t>.</w:t>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ESTÁNDAR DE ACRE</w:t>
      </w:r>
      <w:r w:rsidRPr="00FB7926">
        <w:rPr>
          <w:rFonts w:ascii="Arial" w:eastAsia="Times New Roman" w:hAnsi="Arial" w:cs="Arial"/>
          <w:b/>
          <w:sz w:val="24"/>
          <w:szCs w:val="24"/>
        </w:rPr>
        <w:t xml:space="preserve">DITACIÓN: </w:t>
      </w:r>
      <w:r w:rsidRPr="00FB7926">
        <w:rPr>
          <w:rFonts w:ascii="Arial" w:eastAsia="Times New Roman" w:hAnsi="Arial" w:cs="Arial"/>
          <w:sz w:val="24"/>
          <w:szCs w:val="24"/>
        </w:rPr>
        <w:t>conjunto de normas y criterios mínimos de buena calidad previamente establecidos, con el fin de  permitir un proceso eficiente de enseñanza y aprendizaje y la formación de profesionales de calidad. La acreditación de una carrera constituye la gar</w:t>
      </w:r>
      <w:r w:rsidRPr="00FB7926">
        <w:rPr>
          <w:rFonts w:ascii="Arial" w:eastAsia="Times New Roman" w:hAnsi="Arial" w:cs="Arial"/>
          <w:sz w:val="24"/>
          <w:szCs w:val="24"/>
        </w:rPr>
        <w:t>antía pública de que hay una calidad en el quehacer académico igual o superior al límite establecido</w:t>
      </w:r>
      <w:r w:rsidR="00227FE9" w:rsidRPr="00FB7926">
        <w:rPr>
          <w:rFonts w:ascii="Arial" w:eastAsia="Times New Roman" w:hAnsi="Arial" w:cs="Arial"/>
          <w:sz w:val="24"/>
          <w:szCs w:val="24"/>
        </w:rPr>
        <w:t xml:space="preserve">. </w:t>
      </w:r>
      <w:r w:rsidRPr="00FB7926">
        <w:rPr>
          <w:rFonts w:ascii="Arial" w:eastAsia="Times New Roman" w:hAnsi="Arial" w:cs="Arial"/>
          <w:sz w:val="24"/>
          <w:szCs w:val="24"/>
          <w:vertAlign w:val="superscript"/>
        </w:rPr>
        <w:footnoteReference w:id="12"/>
      </w:r>
    </w:p>
    <w:p w:rsidR="003D432E" w:rsidRPr="00FB7926" w:rsidRDefault="00844F33" w:rsidP="00FB7926">
      <w:pPr>
        <w:spacing w:line="360" w:lineRule="auto"/>
        <w:jc w:val="both"/>
        <w:rPr>
          <w:rFonts w:ascii="Arial" w:eastAsia="Times New Roman" w:hAnsi="Arial" w:cs="Arial"/>
          <w:sz w:val="24"/>
          <w:szCs w:val="24"/>
          <w:vertAlign w:val="superscript"/>
        </w:rPr>
      </w:pPr>
      <w:r w:rsidRPr="00FB7926">
        <w:rPr>
          <w:rFonts w:ascii="Arial" w:eastAsia="Times New Roman" w:hAnsi="Arial" w:cs="Arial"/>
          <w:b/>
          <w:sz w:val="24"/>
          <w:szCs w:val="24"/>
        </w:rPr>
        <w:t>EVALUACIÓN:</w:t>
      </w:r>
      <w:r w:rsidRPr="00FB7926">
        <w:rPr>
          <w:rFonts w:ascii="Arial" w:eastAsia="Times New Roman" w:hAnsi="Arial" w:cs="Arial"/>
          <w:sz w:val="24"/>
          <w:szCs w:val="24"/>
        </w:rPr>
        <w:t xml:space="preserve"> “Uno o más procesos formativos que sirven para identificar, recolectar y preparar datos que permitan determinar el logro de lo</w:t>
      </w:r>
      <w:r w:rsidRPr="00FB7926">
        <w:rPr>
          <w:rFonts w:ascii="Arial" w:eastAsia="Times New Roman" w:hAnsi="Arial" w:cs="Arial"/>
          <w:sz w:val="24"/>
          <w:szCs w:val="24"/>
        </w:rPr>
        <w:t>s resultados del aprendizaje”. “Puede utilizar tanto métodos cualitativos como cuantitativos, según cuál sea el resultado del aprendizaje a verificar, y debe ser entendida como un proceso de mejora”</w:t>
      </w:r>
      <w:r w:rsidRPr="00FB7926">
        <w:rPr>
          <w:rFonts w:ascii="Arial" w:eastAsia="Times New Roman" w:hAnsi="Arial" w:cs="Arial"/>
          <w:sz w:val="24"/>
          <w:szCs w:val="24"/>
          <w:vertAlign w:val="superscript"/>
        </w:rPr>
        <w:footnoteReference w:id="13"/>
      </w:r>
    </w:p>
    <w:p w:rsidR="003D432E" w:rsidRPr="00FB7926" w:rsidRDefault="00844F33" w:rsidP="00FB7926">
      <w:pPr>
        <w:spacing w:line="360" w:lineRule="auto"/>
        <w:jc w:val="both"/>
        <w:rPr>
          <w:rFonts w:ascii="Arial" w:eastAsia="Times New Roman" w:hAnsi="Arial" w:cs="Arial"/>
          <w:sz w:val="24"/>
          <w:szCs w:val="24"/>
          <w:vertAlign w:val="superscript"/>
        </w:rPr>
      </w:pPr>
      <w:r w:rsidRPr="00FB7926">
        <w:rPr>
          <w:rFonts w:ascii="Arial" w:eastAsia="Times New Roman" w:hAnsi="Arial" w:cs="Arial"/>
          <w:b/>
          <w:sz w:val="24"/>
          <w:szCs w:val="24"/>
        </w:rPr>
        <w:t xml:space="preserve">FRONTERA </w:t>
      </w:r>
      <w:r w:rsidRPr="00FB7926">
        <w:rPr>
          <w:rFonts w:ascii="Arial" w:eastAsia="Times New Roman" w:hAnsi="Arial" w:cs="Arial"/>
          <w:b/>
          <w:sz w:val="24"/>
          <w:szCs w:val="24"/>
        </w:rPr>
        <w:t>π</w:t>
      </w:r>
      <w:r w:rsidRPr="00FB7926">
        <w:rPr>
          <w:rFonts w:ascii="Arial" w:eastAsia="Times New Roman" w:hAnsi="Arial" w:cs="Arial"/>
          <w:sz w:val="24"/>
          <w:szCs w:val="24"/>
        </w:rPr>
        <w:t>: Se refiere a los límites entre la pedagogía y la ingeniería</w:t>
      </w:r>
      <w:r w:rsidRPr="00FB7926">
        <w:rPr>
          <w:rFonts w:ascii="Arial" w:eastAsia="Times New Roman" w:hAnsi="Arial" w:cs="Arial"/>
          <w:sz w:val="24"/>
          <w:szCs w:val="24"/>
          <w:vertAlign w:val="superscript"/>
        </w:rPr>
        <w:footnoteReference w:id="14"/>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LIBRO ROJO</w:t>
      </w:r>
      <w:r w:rsidRPr="00FB7926">
        <w:rPr>
          <w:rFonts w:ascii="Arial" w:eastAsia="Times New Roman" w:hAnsi="Arial" w:cs="Arial"/>
          <w:sz w:val="24"/>
          <w:szCs w:val="24"/>
        </w:rPr>
        <w:t xml:space="preserve">: Documento elaborado por el CONFEDI que condensa la base del aprendizaje centrado en competencias. El 1 de junio </w:t>
      </w:r>
      <w:r w:rsidR="00227FE9">
        <w:rPr>
          <w:rFonts w:ascii="Arial" w:eastAsia="Times New Roman" w:hAnsi="Arial" w:cs="Arial"/>
          <w:sz w:val="24"/>
          <w:szCs w:val="24"/>
        </w:rPr>
        <w:t xml:space="preserve">de 2018 </w:t>
      </w:r>
      <w:r w:rsidRPr="00FB7926">
        <w:rPr>
          <w:rFonts w:ascii="Arial" w:eastAsia="Times New Roman" w:hAnsi="Arial" w:cs="Arial"/>
          <w:sz w:val="24"/>
          <w:szCs w:val="24"/>
        </w:rPr>
        <w:t xml:space="preserve">y durante el 63° Plenario del Consejo Federal de Decanos de Ingeniería (CONFEDI) realizado en la Ciudad de Rosario, se aprobó el llamado “Libro Rojo” conteniendo la “Propuesta de Estándares de Segunda Generación para la Acreditación de Carreras de </w:t>
      </w:r>
      <w:r w:rsidRPr="00FB7926">
        <w:rPr>
          <w:rFonts w:ascii="Arial" w:eastAsia="Times New Roman" w:hAnsi="Arial" w:cs="Arial"/>
          <w:sz w:val="24"/>
          <w:szCs w:val="24"/>
        </w:rPr>
        <w:lastRenderedPageBreak/>
        <w:t>Ingenier</w:t>
      </w:r>
      <w:r w:rsidRPr="00FB7926">
        <w:rPr>
          <w:rFonts w:ascii="Arial" w:eastAsia="Times New Roman" w:hAnsi="Arial" w:cs="Arial"/>
          <w:sz w:val="24"/>
          <w:szCs w:val="24"/>
        </w:rPr>
        <w:t xml:space="preserve">ía en la República Argentina”. Dicho estándar es la culminación de un largo proceso que se inició </w:t>
      </w:r>
      <w:r w:rsidR="00227FE9">
        <w:rPr>
          <w:rFonts w:ascii="Arial" w:eastAsia="Times New Roman" w:hAnsi="Arial" w:cs="Arial"/>
          <w:sz w:val="24"/>
          <w:szCs w:val="24"/>
        </w:rPr>
        <w:t>en</w:t>
      </w:r>
      <w:r w:rsidRPr="00FB7926">
        <w:rPr>
          <w:rFonts w:ascii="Arial" w:eastAsia="Times New Roman" w:hAnsi="Arial" w:cs="Arial"/>
          <w:sz w:val="24"/>
          <w:szCs w:val="24"/>
        </w:rPr>
        <w:t xml:space="preserve"> el año 2006 cuando el CONFEDI dio a conocer las “Competencias Genéricas de Egreso del Ingeniero Argentino”, las que luego fueron adoptadas por toda l</w:t>
      </w:r>
      <w:r w:rsidRPr="00FB7926">
        <w:rPr>
          <w:rFonts w:ascii="Arial" w:eastAsia="Times New Roman" w:hAnsi="Arial" w:cs="Arial"/>
          <w:sz w:val="24"/>
          <w:szCs w:val="24"/>
        </w:rPr>
        <w:t>a comunidad de educadores de ingeniería de Iberoamérica en el marco de la “Declaración de Valparaíso”</w:t>
      </w:r>
      <w:r w:rsidRPr="00FB7926">
        <w:rPr>
          <w:rFonts w:ascii="Arial" w:eastAsia="Times New Roman" w:hAnsi="Arial" w:cs="Arial"/>
          <w:sz w:val="24"/>
          <w:szCs w:val="24"/>
          <w:vertAlign w:val="superscript"/>
        </w:rPr>
        <w:footnoteReference w:id="15"/>
      </w:r>
      <w:r w:rsidRPr="00FB7926">
        <w:rPr>
          <w:rFonts w:ascii="Arial" w:eastAsia="Times New Roman" w:hAnsi="Arial" w:cs="Arial"/>
          <w:sz w:val="24"/>
          <w:szCs w:val="24"/>
        </w:rPr>
        <w:t>.</w:t>
      </w:r>
    </w:p>
    <w:p w:rsidR="003D432E" w:rsidRPr="00FB7926" w:rsidRDefault="00844F33" w:rsidP="00297D6E">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MATRIZ DE VALORACIÓN</w:t>
      </w:r>
      <w:r w:rsidR="00297D6E" w:rsidRPr="00FB7926">
        <w:rPr>
          <w:rFonts w:ascii="Arial" w:eastAsia="Times New Roman" w:hAnsi="Arial" w:cs="Arial"/>
          <w:sz w:val="24"/>
          <w:szCs w:val="24"/>
        </w:rPr>
        <w:t xml:space="preserve">: </w:t>
      </w:r>
      <w:r w:rsidR="00297D6E">
        <w:rPr>
          <w:rFonts w:ascii="Arial" w:eastAsia="Times New Roman" w:hAnsi="Arial" w:cs="Arial"/>
          <w:sz w:val="24"/>
          <w:szCs w:val="24"/>
        </w:rPr>
        <w:t xml:space="preserve">Tipo </w:t>
      </w:r>
      <w:r w:rsidRPr="00FB7926">
        <w:rPr>
          <w:rFonts w:ascii="Arial" w:eastAsia="Times New Roman" w:hAnsi="Arial" w:cs="Arial"/>
          <w:sz w:val="24"/>
          <w:szCs w:val="24"/>
        </w:rPr>
        <w:t>de rúbrica</w:t>
      </w:r>
      <w:r w:rsidR="00297D6E">
        <w:rPr>
          <w:rFonts w:ascii="Arial" w:eastAsia="Times New Roman" w:hAnsi="Arial" w:cs="Arial"/>
          <w:sz w:val="24"/>
          <w:szCs w:val="24"/>
        </w:rPr>
        <w:t xml:space="preserve">, que </w:t>
      </w:r>
      <w:r w:rsidR="00297D6E" w:rsidRPr="00297D6E">
        <w:rPr>
          <w:rFonts w:ascii="Arial" w:eastAsia="Times New Roman" w:hAnsi="Arial" w:cs="Arial"/>
          <w:sz w:val="24"/>
          <w:szCs w:val="24"/>
        </w:rPr>
        <w:t xml:space="preserve"> </w:t>
      </w:r>
      <w:r w:rsidR="00297D6E">
        <w:rPr>
          <w:rFonts w:ascii="Arial" w:eastAsia="Times New Roman" w:hAnsi="Arial" w:cs="Arial"/>
          <w:sz w:val="24"/>
          <w:szCs w:val="24"/>
        </w:rPr>
        <w:t>implica</w:t>
      </w:r>
      <w:r w:rsidR="00297D6E" w:rsidRPr="00297D6E">
        <w:rPr>
          <w:rFonts w:ascii="Arial" w:eastAsia="Times New Roman" w:hAnsi="Arial" w:cs="Arial"/>
          <w:sz w:val="24"/>
          <w:szCs w:val="24"/>
        </w:rPr>
        <w:t xml:space="preserve"> una descripción detallada del tipo de desempeño</w:t>
      </w:r>
      <w:r w:rsidR="00297D6E">
        <w:rPr>
          <w:rFonts w:ascii="Arial" w:eastAsia="Times New Roman" w:hAnsi="Arial" w:cs="Arial"/>
          <w:sz w:val="24"/>
          <w:szCs w:val="24"/>
        </w:rPr>
        <w:t xml:space="preserve"> </w:t>
      </w:r>
      <w:r w:rsidR="00297D6E" w:rsidRPr="00297D6E">
        <w:rPr>
          <w:rFonts w:ascii="Arial" w:eastAsia="Times New Roman" w:hAnsi="Arial" w:cs="Arial"/>
          <w:sz w:val="24"/>
          <w:szCs w:val="24"/>
        </w:rPr>
        <w:t>esperado por parte de los estudiantes así como los criterios que serán usados</w:t>
      </w:r>
      <w:r w:rsidR="00297D6E">
        <w:rPr>
          <w:rFonts w:ascii="Arial" w:eastAsia="Times New Roman" w:hAnsi="Arial" w:cs="Arial"/>
          <w:sz w:val="24"/>
          <w:szCs w:val="24"/>
        </w:rPr>
        <w:t xml:space="preserve"> </w:t>
      </w:r>
      <w:r w:rsidR="00297D6E" w:rsidRPr="00297D6E">
        <w:rPr>
          <w:rFonts w:ascii="Arial" w:eastAsia="Times New Roman" w:hAnsi="Arial" w:cs="Arial"/>
          <w:sz w:val="24"/>
          <w:szCs w:val="24"/>
        </w:rPr>
        <w:t>para su  análisis</w:t>
      </w:r>
      <w:r w:rsidR="00297D6E">
        <w:rPr>
          <w:rFonts w:ascii="Arial" w:eastAsia="Times New Roman" w:hAnsi="Arial" w:cs="Arial"/>
          <w:sz w:val="24"/>
          <w:szCs w:val="24"/>
        </w:rPr>
        <w:t>.</w:t>
      </w:r>
    </w:p>
    <w:p w:rsidR="003D432E" w:rsidRPr="00FB7926" w:rsidRDefault="00844F33" w:rsidP="00FB7926">
      <w:pPr>
        <w:spacing w:line="360" w:lineRule="auto"/>
        <w:jc w:val="both"/>
        <w:rPr>
          <w:rFonts w:ascii="Arial" w:eastAsia="Times New Roman" w:hAnsi="Arial" w:cs="Arial"/>
          <w:b/>
          <w:sz w:val="24"/>
          <w:szCs w:val="24"/>
        </w:rPr>
      </w:pPr>
      <w:r w:rsidRPr="00FB7926">
        <w:rPr>
          <w:rFonts w:ascii="Arial" w:eastAsia="Times New Roman" w:hAnsi="Arial" w:cs="Arial"/>
          <w:b/>
          <w:sz w:val="24"/>
          <w:szCs w:val="24"/>
        </w:rPr>
        <w:t>PEFI</w:t>
      </w:r>
      <w:proofErr w:type="gramStart"/>
      <w:r w:rsidR="00297D6E">
        <w:rPr>
          <w:rFonts w:ascii="Arial" w:eastAsia="Times New Roman" w:hAnsi="Arial" w:cs="Arial"/>
          <w:b/>
          <w:sz w:val="24"/>
          <w:szCs w:val="24"/>
        </w:rPr>
        <w:t xml:space="preserve">: </w:t>
      </w:r>
      <w:r w:rsidRPr="00FB7926">
        <w:rPr>
          <w:rFonts w:ascii="Arial" w:eastAsia="Times New Roman" w:hAnsi="Arial" w:cs="Arial"/>
          <w:b/>
          <w:sz w:val="24"/>
          <w:szCs w:val="24"/>
        </w:rPr>
        <w:t xml:space="preserve"> </w:t>
      </w:r>
      <w:r w:rsidRPr="00FB7926">
        <w:rPr>
          <w:rFonts w:ascii="Arial" w:eastAsia="Times New Roman" w:hAnsi="Arial" w:cs="Arial"/>
          <w:sz w:val="24"/>
          <w:szCs w:val="24"/>
        </w:rPr>
        <w:t>Plan</w:t>
      </w:r>
      <w:proofErr w:type="gramEnd"/>
      <w:r w:rsidRPr="00FB7926">
        <w:rPr>
          <w:rFonts w:ascii="Arial" w:eastAsia="Times New Roman" w:hAnsi="Arial" w:cs="Arial"/>
          <w:sz w:val="24"/>
          <w:szCs w:val="24"/>
        </w:rPr>
        <w:t xml:space="preserve"> Estratégico de Formación de Ingenieros, impulsado por la Secretaría de Políticas Universitarias de</w:t>
      </w:r>
      <w:r w:rsidRPr="00FB7926">
        <w:rPr>
          <w:rFonts w:ascii="Arial" w:eastAsia="Times New Roman" w:hAnsi="Arial" w:cs="Arial"/>
          <w:sz w:val="24"/>
          <w:szCs w:val="24"/>
        </w:rPr>
        <w:t>l Ministerio de Educación de Argentina</w:t>
      </w:r>
      <w:r w:rsidR="00297D6E">
        <w:rPr>
          <w:rFonts w:ascii="Arial" w:eastAsia="Times New Roman" w:hAnsi="Arial" w:cs="Arial"/>
          <w:sz w:val="24"/>
          <w:szCs w:val="24"/>
        </w:rPr>
        <w:t>. T</w:t>
      </w:r>
      <w:r w:rsidRPr="00FB7926">
        <w:rPr>
          <w:rFonts w:ascii="Arial" w:eastAsia="Times New Roman" w:hAnsi="Arial" w:cs="Arial"/>
          <w:sz w:val="24"/>
          <w:szCs w:val="24"/>
        </w:rPr>
        <w:t>iene como objeto promover la cantidad y calidad de los recursos humanos e incrementar, en el lapso de diez años, la cantidad de graduados, siempre dentro del ámbito de la Ingeniería.</w:t>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PENSAMIENTO SISTÉMICO:</w:t>
      </w:r>
      <w:r w:rsidRPr="00FB7926">
        <w:rPr>
          <w:rFonts w:ascii="Arial" w:eastAsia="Times New Roman" w:hAnsi="Arial" w:cs="Arial"/>
          <w:sz w:val="24"/>
          <w:szCs w:val="24"/>
        </w:rPr>
        <w:t xml:space="preserve"> es la base</w:t>
      </w:r>
      <w:r w:rsidRPr="00FB7926">
        <w:rPr>
          <w:rFonts w:ascii="Arial" w:eastAsia="Times New Roman" w:hAnsi="Arial" w:cs="Arial"/>
          <w:sz w:val="24"/>
          <w:szCs w:val="24"/>
        </w:rPr>
        <w:t xml:space="preserve"> de las competencias complejas, implica una visión de la realidad compleja en sus múltiples elementos y con sus diversas interrelaciones. Es simplemente el reconocimiento de la naturaleza sistémica del mundo. Observa sus objetos como fenómenos complejos.</w:t>
      </w:r>
      <w:r w:rsidRPr="00FB7926">
        <w:rPr>
          <w:rFonts w:ascii="Arial" w:eastAsia="Times New Roman" w:hAnsi="Arial" w:cs="Arial"/>
          <w:sz w:val="24"/>
          <w:szCs w:val="24"/>
          <w:vertAlign w:val="superscript"/>
        </w:rPr>
        <w:footnoteReference w:id="16"/>
      </w:r>
      <w:r w:rsidRPr="00FB7926">
        <w:rPr>
          <w:rFonts w:ascii="Arial" w:eastAsia="Times New Roman" w:hAnsi="Arial" w:cs="Arial"/>
          <w:sz w:val="24"/>
          <w:szCs w:val="24"/>
        </w:rPr>
        <w:t xml:space="preserve"> </w:t>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PERFIL DE EGRESO</w:t>
      </w:r>
      <w:r w:rsidR="00FB7926" w:rsidRPr="00FB7926">
        <w:rPr>
          <w:rFonts w:ascii="Arial" w:eastAsia="Times New Roman" w:hAnsi="Arial" w:cs="Arial"/>
          <w:b/>
          <w:sz w:val="24"/>
          <w:szCs w:val="24"/>
        </w:rPr>
        <w:t xml:space="preserve">: </w:t>
      </w:r>
      <w:r w:rsidR="00FB7926" w:rsidRPr="00297D6E">
        <w:rPr>
          <w:rFonts w:ascii="Arial" w:eastAsia="Times New Roman" w:hAnsi="Arial" w:cs="Arial"/>
          <w:sz w:val="24"/>
          <w:szCs w:val="24"/>
        </w:rPr>
        <w:t>Es</w:t>
      </w:r>
      <w:r w:rsidRPr="00FB7926">
        <w:rPr>
          <w:rFonts w:ascii="Arial" w:eastAsia="Times New Roman" w:hAnsi="Arial" w:cs="Arial"/>
          <w:sz w:val="24"/>
          <w:szCs w:val="24"/>
        </w:rPr>
        <w:t xml:space="preserve"> </w:t>
      </w:r>
      <w:r w:rsidRPr="00FB7926">
        <w:rPr>
          <w:rFonts w:ascii="Arial" w:eastAsia="Times New Roman" w:hAnsi="Arial" w:cs="Arial"/>
          <w:sz w:val="24"/>
          <w:szCs w:val="24"/>
        </w:rPr>
        <w:t xml:space="preserve">definido explícitamente por cada institución sobre la base de su </w:t>
      </w:r>
      <w:r w:rsidRPr="00FB7926">
        <w:rPr>
          <w:rFonts w:ascii="Arial" w:eastAsia="Times New Roman" w:hAnsi="Arial" w:cs="Arial"/>
          <w:sz w:val="24"/>
          <w:szCs w:val="24"/>
        </w:rPr>
        <w:t>Proyecto Institucional y de las actividades reservadas definidas para cada título, con el objetivo que el graduado posea una adecuada formación científica, técnica y profesional.</w:t>
      </w:r>
      <w:r w:rsidRPr="00FB7926">
        <w:rPr>
          <w:rFonts w:ascii="Arial" w:eastAsia="Times New Roman" w:hAnsi="Arial" w:cs="Arial"/>
          <w:sz w:val="24"/>
          <w:szCs w:val="24"/>
          <w:vertAlign w:val="superscript"/>
        </w:rPr>
        <w:footnoteReference w:id="17"/>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RA</w:t>
      </w:r>
      <w:r w:rsidRPr="00FB7926">
        <w:rPr>
          <w:rFonts w:ascii="Arial" w:eastAsia="Times New Roman" w:hAnsi="Arial" w:cs="Arial"/>
          <w:sz w:val="24"/>
          <w:szCs w:val="24"/>
        </w:rPr>
        <w:t>: Resultados de Aprendizaje. Unidades menores de las competencias para tr</w:t>
      </w:r>
      <w:r w:rsidRPr="00FB7926">
        <w:rPr>
          <w:rFonts w:ascii="Arial" w:eastAsia="Times New Roman" w:hAnsi="Arial" w:cs="Arial"/>
          <w:sz w:val="24"/>
          <w:szCs w:val="24"/>
        </w:rPr>
        <w:t xml:space="preserve">abajar dentro de los espacios curriculares. Según señala </w:t>
      </w:r>
      <w:proofErr w:type="spellStart"/>
      <w:r w:rsidRPr="00FB7926">
        <w:rPr>
          <w:rFonts w:ascii="Arial" w:eastAsia="Times New Roman" w:hAnsi="Arial" w:cs="Arial"/>
          <w:sz w:val="24"/>
          <w:szCs w:val="24"/>
        </w:rPr>
        <w:t>Kowalski</w:t>
      </w:r>
      <w:proofErr w:type="spellEnd"/>
      <w:r w:rsidRPr="00FB7926">
        <w:rPr>
          <w:rFonts w:ascii="Arial" w:eastAsia="Times New Roman" w:hAnsi="Arial" w:cs="Arial"/>
          <w:sz w:val="24"/>
          <w:szCs w:val="24"/>
        </w:rPr>
        <w:t xml:space="preserve"> debe estar </w:t>
      </w:r>
      <w:r w:rsidRPr="00FB7926">
        <w:rPr>
          <w:rFonts w:ascii="Arial" w:eastAsia="Times New Roman" w:hAnsi="Arial" w:cs="Arial"/>
          <w:sz w:val="24"/>
          <w:szCs w:val="24"/>
        </w:rPr>
        <w:lastRenderedPageBreak/>
        <w:t>redactado con un Verbo + Objeto de conocimiento + Finalidad o finalidades + Condición o condiciones de calidad o criterios de ejecución</w:t>
      </w:r>
      <w:r w:rsidR="00297D6E">
        <w:rPr>
          <w:rFonts w:ascii="Arial" w:eastAsia="Times New Roman" w:hAnsi="Arial" w:cs="Arial"/>
          <w:sz w:val="24"/>
          <w:szCs w:val="24"/>
        </w:rPr>
        <w:t>.</w:t>
      </w:r>
      <w:bookmarkStart w:id="0" w:name="_GoBack"/>
      <w:bookmarkEnd w:id="0"/>
      <w:r w:rsidRPr="00FB7926">
        <w:rPr>
          <w:rFonts w:ascii="Arial" w:eastAsia="Times New Roman" w:hAnsi="Arial" w:cs="Arial"/>
          <w:sz w:val="24"/>
          <w:szCs w:val="24"/>
          <w:vertAlign w:val="superscript"/>
        </w:rPr>
        <w:footnoteReference w:id="18"/>
      </w:r>
      <w:r w:rsidRPr="00FB7926">
        <w:rPr>
          <w:rFonts w:ascii="Arial" w:eastAsia="Times New Roman" w:hAnsi="Arial" w:cs="Arial"/>
          <w:sz w:val="24"/>
          <w:szCs w:val="24"/>
        </w:rPr>
        <w:t xml:space="preserve"> </w:t>
      </w:r>
    </w:p>
    <w:p w:rsidR="003D432E" w:rsidRPr="00FB7926"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RTF</w:t>
      </w:r>
      <w:r w:rsidRPr="00FB7926">
        <w:rPr>
          <w:rFonts w:ascii="Arial" w:eastAsia="Times New Roman" w:hAnsi="Arial" w:cs="Arial"/>
          <w:sz w:val="24"/>
          <w:szCs w:val="24"/>
        </w:rPr>
        <w:t>: Reconocimiento de Trayecto Formativo</w:t>
      </w:r>
      <w:r w:rsidRPr="00FB7926">
        <w:rPr>
          <w:rFonts w:ascii="Arial" w:eastAsia="Times New Roman" w:hAnsi="Arial" w:cs="Arial"/>
          <w:sz w:val="24"/>
          <w:szCs w:val="24"/>
        </w:rPr>
        <w:t xml:space="preserve"> (RTF)</w:t>
      </w:r>
    </w:p>
    <w:p w:rsidR="003D432E" w:rsidRPr="00FB7926" w:rsidRDefault="00844F33" w:rsidP="00FB7926">
      <w:pPr>
        <w:spacing w:line="360" w:lineRule="auto"/>
        <w:jc w:val="both"/>
        <w:rPr>
          <w:rFonts w:ascii="Arial" w:eastAsia="Times New Roman" w:hAnsi="Arial" w:cs="Arial"/>
          <w:sz w:val="24"/>
          <w:szCs w:val="24"/>
          <w:shd w:val="clear" w:color="auto" w:fill="F3F3F3"/>
        </w:rPr>
      </w:pPr>
      <w:r w:rsidRPr="00FB7926">
        <w:rPr>
          <w:rFonts w:ascii="Arial" w:eastAsia="Times New Roman" w:hAnsi="Arial" w:cs="Arial"/>
          <w:b/>
          <w:sz w:val="24"/>
          <w:szCs w:val="24"/>
          <w:shd w:val="clear" w:color="auto" w:fill="F3F3F3"/>
        </w:rPr>
        <w:t xml:space="preserve">RÚBRICA  </w:t>
      </w:r>
      <w:r w:rsidRPr="00FB7926">
        <w:rPr>
          <w:rFonts w:ascii="Arial" w:eastAsia="Times New Roman" w:hAnsi="Arial" w:cs="Arial"/>
          <w:sz w:val="24"/>
          <w:szCs w:val="24"/>
          <w:shd w:val="clear" w:color="auto" w:fill="F3F3F3"/>
        </w:rPr>
        <w:t>La rúbrica es un instrumento de evaluación basado en una escala cuantitativa y/o cualitativa asociada a unos criterios preestablecidos que miden las acciones del alumnado sobre los aspectos de la tarea o actividad que serán evaluados. Puede</w:t>
      </w:r>
      <w:r w:rsidRPr="00FB7926">
        <w:rPr>
          <w:rFonts w:ascii="Arial" w:eastAsia="Times New Roman" w:hAnsi="Arial" w:cs="Arial"/>
          <w:sz w:val="24"/>
          <w:szCs w:val="24"/>
          <w:shd w:val="clear" w:color="auto" w:fill="F3F3F3"/>
        </w:rPr>
        <w:t xml:space="preserve">n organizarse en diferentes niveles de cumplimiento: desde el menos aceptable hasta la resolución ejemplar, desde lo considerado como insuficiente hasta lo excelente. </w:t>
      </w:r>
      <w:r w:rsidRPr="00FB7926">
        <w:rPr>
          <w:rFonts w:ascii="Arial" w:eastAsia="Times New Roman" w:hAnsi="Arial" w:cs="Arial"/>
          <w:sz w:val="24"/>
          <w:szCs w:val="24"/>
          <w:shd w:val="clear" w:color="auto" w:fill="F3F3F3"/>
          <w:vertAlign w:val="superscript"/>
        </w:rPr>
        <w:footnoteReference w:id="19"/>
      </w:r>
    </w:p>
    <w:p w:rsidR="003D432E" w:rsidRDefault="00844F33"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SISTEMA DE EVALUACIÓN</w:t>
      </w:r>
      <w:r w:rsidRPr="00FB7926">
        <w:rPr>
          <w:rFonts w:ascii="Arial" w:eastAsia="Times New Roman" w:hAnsi="Arial" w:cs="Arial"/>
          <w:sz w:val="24"/>
          <w:szCs w:val="24"/>
        </w:rPr>
        <w:t>: No se reduce a un conjunto de pruebas o exámenes. Es un conjunto</w:t>
      </w:r>
      <w:r w:rsidRPr="00FB7926">
        <w:rPr>
          <w:rFonts w:ascii="Arial" w:eastAsia="Times New Roman" w:hAnsi="Arial" w:cs="Arial"/>
          <w:sz w:val="24"/>
          <w:szCs w:val="24"/>
        </w:rPr>
        <w:t xml:space="preserve"> de evidencia de desempeño, es decir, “los productos que se van obteniendo a partir de las actividades de aprendizaje”</w:t>
      </w:r>
      <w:r w:rsidRPr="00FB7926">
        <w:rPr>
          <w:rFonts w:ascii="Arial" w:eastAsia="Times New Roman" w:hAnsi="Arial" w:cs="Arial"/>
          <w:sz w:val="24"/>
          <w:szCs w:val="24"/>
          <w:vertAlign w:val="superscript"/>
        </w:rPr>
        <w:footnoteReference w:id="20"/>
      </w:r>
    </w:p>
    <w:p w:rsidR="00FB7926" w:rsidRPr="00FB7926" w:rsidRDefault="00FB7926" w:rsidP="00FB7926">
      <w:pPr>
        <w:spacing w:line="360" w:lineRule="auto"/>
        <w:jc w:val="both"/>
        <w:rPr>
          <w:rFonts w:ascii="Arial" w:eastAsia="Times New Roman" w:hAnsi="Arial" w:cs="Arial"/>
          <w:sz w:val="24"/>
          <w:szCs w:val="24"/>
        </w:rPr>
      </w:pPr>
      <w:r w:rsidRPr="00FB7926">
        <w:rPr>
          <w:rFonts w:ascii="Arial" w:eastAsia="Times New Roman" w:hAnsi="Arial" w:cs="Arial"/>
          <w:b/>
          <w:sz w:val="24"/>
          <w:szCs w:val="24"/>
        </w:rPr>
        <w:t xml:space="preserve">SPU: </w:t>
      </w:r>
      <w:r w:rsidRPr="00FB7926">
        <w:rPr>
          <w:rFonts w:ascii="Arial" w:eastAsia="Times New Roman" w:hAnsi="Arial" w:cs="Arial"/>
          <w:sz w:val="24"/>
          <w:szCs w:val="24"/>
        </w:rPr>
        <w:t>Secretaría de Políticas Universitarias</w:t>
      </w:r>
    </w:p>
    <w:p w:rsidR="003D432E" w:rsidRPr="00FB7926" w:rsidRDefault="003D432E" w:rsidP="00FB7926">
      <w:pPr>
        <w:spacing w:line="360" w:lineRule="auto"/>
        <w:jc w:val="both"/>
        <w:rPr>
          <w:rFonts w:ascii="Arial" w:eastAsia="Times New Roman" w:hAnsi="Arial" w:cs="Arial"/>
          <w:sz w:val="24"/>
          <w:szCs w:val="24"/>
        </w:rPr>
      </w:pPr>
    </w:p>
    <w:p w:rsidR="003D432E" w:rsidRPr="00FB7926" w:rsidRDefault="003D432E" w:rsidP="00FB7926">
      <w:pPr>
        <w:spacing w:line="360" w:lineRule="auto"/>
        <w:jc w:val="both"/>
        <w:rPr>
          <w:rFonts w:ascii="Arial" w:eastAsia="Times New Roman" w:hAnsi="Arial" w:cs="Arial"/>
          <w:b/>
          <w:sz w:val="24"/>
          <w:szCs w:val="24"/>
        </w:rPr>
      </w:pPr>
    </w:p>
    <w:p w:rsidR="003D432E" w:rsidRPr="00FB7926" w:rsidRDefault="003D432E" w:rsidP="00FB7926">
      <w:pPr>
        <w:spacing w:line="360" w:lineRule="auto"/>
        <w:jc w:val="both"/>
        <w:rPr>
          <w:rFonts w:ascii="Arial" w:eastAsia="Times New Roman" w:hAnsi="Arial" w:cs="Arial"/>
          <w:b/>
          <w:sz w:val="24"/>
          <w:szCs w:val="24"/>
        </w:rPr>
      </w:pPr>
    </w:p>
    <w:sectPr w:rsidR="003D432E" w:rsidRPr="00FB792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33" w:rsidRDefault="00844F33">
      <w:pPr>
        <w:spacing w:after="0" w:line="240" w:lineRule="auto"/>
      </w:pPr>
      <w:r>
        <w:separator/>
      </w:r>
    </w:p>
  </w:endnote>
  <w:endnote w:type="continuationSeparator" w:id="0">
    <w:p w:rsidR="00844F33" w:rsidRDefault="0084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33" w:rsidRDefault="00844F33">
      <w:pPr>
        <w:spacing w:after="0" w:line="240" w:lineRule="auto"/>
      </w:pPr>
      <w:r>
        <w:separator/>
      </w:r>
    </w:p>
  </w:footnote>
  <w:footnote w:type="continuationSeparator" w:id="0">
    <w:p w:rsidR="00844F33" w:rsidRDefault="00844F33">
      <w:pPr>
        <w:spacing w:after="0" w:line="240" w:lineRule="auto"/>
      </w:pPr>
      <w:r>
        <w:continuationSeparator/>
      </w:r>
    </w:p>
  </w:footnote>
  <w:footnote w:id="1">
    <w:p w:rsidR="003D432E" w:rsidRDefault="00844F3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Este Glosario, fue confeccionado por el equipo del Centro Universitario Técnico Educativo en el marco del proyecto de Investigación “Currículum por Competencias” el cual implica un acompañamiento y registr</w:t>
      </w:r>
      <w:r>
        <w:rPr>
          <w:rFonts w:ascii="Times New Roman" w:eastAsia="Times New Roman" w:hAnsi="Times New Roman" w:cs="Times New Roman"/>
          <w:sz w:val="20"/>
          <w:szCs w:val="20"/>
        </w:rPr>
        <w:t>o de la transición en los planes de estudio hacia un aprendizaje por competencias centrado en los y las estudiantes en la Facultad de Ingeniería perteneciente a la Universidad Nacional de San Juan.</w:t>
      </w:r>
    </w:p>
  </w:footnote>
  <w:footnote w:id="2">
    <w:p w:rsidR="003D432E" w:rsidRDefault="00844F3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Extraído  de  </w:t>
      </w:r>
      <w:hyperlink r:id="rId1">
        <w:r>
          <w:rPr>
            <w:rFonts w:ascii="Times New Roman" w:eastAsia="Times New Roman" w:hAnsi="Times New Roman" w:cs="Times New Roman"/>
            <w:color w:val="0000FF"/>
            <w:sz w:val="20"/>
            <w:szCs w:val="20"/>
            <w:u w:val="single"/>
          </w:rPr>
          <w:t>https://www.ufasta.edu.ar/ingeni</w:t>
        </w:r>
        <w:r>
          <w:rPr>
            <w:rFonts w:ascii="Times New Roman" w:eastAsia="Times New Roman" w:hAnsi="Times New Roman" w:cs="Times New Roman"/>
            <w:color w:val="0000FF"/>
            <w:sz w:val="20"/>
            <w:szCs w:val="20"/>
            <w:u w:val="single"/>
          </w:rPr>
          <w:t>eria/2018/05/28/sobre-las-nuevas-actividades-reservadas-profesionales/</w:t>
        </w:r>
      </w:hyperlink>
      <w:r>
        <w:rPr>
          <w:rFonts w:ascii="Times New Roman" w:eastAsia="Times New Roman" w:hAnsi="Times New Roman" w:cs="Times New Roman"/>
          <w:sz w:val="20"/>
          <w:szCs w:val="20"/>
        </w:rPr>
        <w:t xml:space="preserve"> </w:t>
      </w:r>
    </w:p>
  </w:footnote>
  <w:footnote w:id="3">
    <w:p w:rsidR="003D432E" w:rsidRDefault="00844F3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IBIDEM</w:t>
      </w:r>
    </w:p>
  </w:footnote>
  <w:footnote w:id="4">
    <w:p w:rsidR="003D432E" w:rsidRDefault="00844F3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IBIDEM</w:t>
      </w:r>
    </w:p>
  </w:footnote>
  <w:footnote w:id="5">
    <w:p w:rsidR="003D432E" w:rsidRDefault="00844F33">
      <w:pPr>
        <w:spacing w:after="0" w:line="240" w:lineRule="auto"/>
        <w:rPr>
          <w:sz w:val="20"/>
          <w:szCs w:val="20"/>
        </w:rPr>
      </w:pPr>
      <w:r>
        <w:rPr>
          <w:vertAlign w:val="superscript"/>
        </w:rPr>
        <w:footnoteRef/>
      </w:r>
      <w:r>
        <w:rPr>
          <w:sz w:val="20"/>
          <w:szCs w:val="20"/>
        </w:rPr>
        <w:t xml:space="preserve"> </w:t>
      </w:r>
      <w:r>
        <w:rPr>
          <w:rFonts w:ascii="Arial" w:eastAsia="Arial" w:hAnsi="Arial" w:cs="Arial"/>
          <w:color w:val="222222"/>
          <w:sz w:val="20"/>
          <w:szCs w:val="20"/>
          <w:highlight w:val="white"/>
        </w:rPr>
        <w:t>Tobón, S. (2008). La formación basada en competencias</w:t>
      </w:r>
      <w:r>
        <w:rPr>
          <w:rFonts w:ascii="Arial" w:eastAsia="Arial" w:hAnsi="Arial" w:cs="Arial"/>
          <w:color w:val="222222"/>
          <w:sz w:val="20"/>
          <w:szCs w:val="20"/>
          <w:highlight w:val="white"/>
        </w:rPr>
        <w:t xml:space="preserve"> en la educación superior: el enfoque complejo. </w:t>
      </w:r>
      <w:r>
        <w:rPr>
          <w:rFonts w:ascii="Arial" w:eastAsia="Arial" w:hAnsi="Arial" w:cs="Arial"/>
          <w:i/>
          <w:color w:val="222222"/>
          <w:sz w:val="20"/>
          <w:szCs w:val="20"/>
          <w:highlight w:val="white"/>
        </w:rPr>
        <w:t>México: Universidad Autónoma de Guadalajara</w:t>
      </w:r>
      <w:r>
        <w:rPr>
          <w:rFonts w:ascii="Arial" w:eastAsia="Arial" w:hAnsi="Arial" w:cs="Arial"/>
          <w:color w:val="222222"/>
          <w:sz w:val="20"/>
          <w:szCs w:val="20"/>
          <w:highlight w:val="white"/>
        </w:rPr>
        <w:t>, 5.</w:t>
      </w:r>
    </w:p>
  </w:footnote>
  <w:footnote w:id="6">
    <w:p w:rsidR="003D432E" w:rsidRDefault="00844F3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IBIDEM</w:t>
      </w:r>
    </w:p>
  </w:footnote>
  <w:footnote w:id="7">
    <w:p w:rsidR="003D432E" w:rsidRDefault="00844F33">
      <w:pPr>
        <w:spacing w:after="0" w:line="240" w:lineRule="auto"/>
        <w:rPr>
          <w:sz w:val="20"/>
          <w:szCs w:val="20"/>
        </w:rPr>
      </w:pPr>
      <w:r>
        <w:rPr>
          <w:vertAlign w:val="superscript"/>
        </w:rPr>
        <w:footnoteRef/>
      </w:r>
      <w:r>
        <w:rPr>
          <w:sz w:val="20"/>
          <w:szCs w:val="20"/>
        </w:rPr>
        <w:t xml:space="preserve"> </w:t>
      </w:r>
    </w:p>
  </w:footnote>
  <w:footnote w:id="8">
    <w:p w:rsidR="003D432E" w:rsidRDefault="00844F3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Extraído del libro Rojo del CONFEDI: </w:t>
      </w:r>
      <w:hyperlink r:id="rId2">
        <w:r>
          <w:rPr>
            <w:rFonts w:ascii="Times New Roman" w:eastAsia="Times New Roman" w:hAnsi="Times New Roman" w:cs="Times New Roman"/>
            <w:color w:val="0000FF"/>
            <w:sz w:val="20"/>
            <w:szCs w:val="20"/>
            <w:u w:val="single"/>
          </w:rPr>
          <w:t>https://www.ing.unlp.edu.ar/sitio/institucional/difusion/archivos/LIBRO_ROJO_DE_CONFEDI_estandares_de_segunda_gene</w:t>
        </w:r>
        <w:r>
          <w:rPr>
            <w:rFonts w:ascii="Times New Roman" w:eastAsia="Times New Roman" w:hAnsi="Times New Roman" w:cs="Times New Roman"/>
            <w:color w:val="0000FF"/>
            <w:sz w:val="20"/>
            <w:szCs w:val="20"/>
            <w:u w:val="single"/>
          </w:rPr>
          <w:t>racion.pdf</w:t>
        </w:r>
      </w:hyperlink>
      <w:r>
        <w:rPr>
          <w:rFonts w:ascii="Times New Roman" w:eastAsia="Times New Roman" w:hAnsi="Times New Roman" w:cs="Times New Roman"/>
          <w:sz w:val="20"/>
          <w:szCs w:val="20"/>
        </w:rPr>
        <w:t xml:space="preserve"> </w:t>
      </w:r>
    </w:p>
  </w:footnote>
  <w:footnote w:id="9">
    <w:p w:rsidR="003D432E" w:rsidRDefault="00844F3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 xml:space="preserve">xtraído del libro Rojo del CONFEDI: </w:t>
      </w:r>
      <w:hyperlink r:id="rId3">
        <w:r>
          <w:rPr>
            <w:rFonts w:ascii="Times New Roman" w:eastAsia="Times New Roman" w:hAnsi="Times New Roman" w:cs="Times New Roman"/>
            <w:color w:val="0000FF"/>
            <w:sz w:val="20"/>
            <w:szCs w:val="20"/>
            <w:u w:val="single"/>
          </w:rPr>
          <w:t>https://www.ing.unlp.edu.ar/sitio/institucional/difusion/archivos/LIBRO_ROJO</w:t>
        </w:r>
        <w:r>
          <w:rPr>
            <w:rFonts w:ascii="Times New Roman" w:eastAsia="Times New Roman" w:hAnsi="Times New Roman" w:cs="Times New Roman"/>
            <w:color w:val="0000FF"/>
            <w:sz w:val="20"/>
            <w:szCs w:val="20"/>
            <w:u w:val="single"/>
          </w:rPr>
          <w:t>_DE_CONFEDI_estandares_de_segunda_generacion.pdf</w:t>
        </w:r>
      </w:hyperlink>
    </w:p>
  </w:footnote>
  <w:footnote w:id="10">
    <w:p w:rsidR="003D432E" w:rsidRDefault="00844F3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Documento elaborado por CONFEDI –Oro Verde 2017. “</w:t>
      </w:r>
      <w:r>
        <w:rPr>
          <w:sz w:val="20"/>
          <w:szCs w:val="20"/>
        </w:rPr>
        <w:t>Marco conceptual y definición de estándares de acreditación de las carreras de ingeniería”</w:t>
      </w:r>
    </w:p>
    <w:p w:rsidR="003D432E" w:rsidRDefault="003D432E">
      <w:pPr>
        <w:spacing w:after="0" w:line="240" w:lineRule="auto"/>
        <w:rPr>
          <w:sz w:val="20"/>
          <w:szCs w:val="20"/>
        </w:rPr>
      </w:pPr>
    </w:p>
  </w:footnote>
  <w:footnote w:id="11">
    <w:p w:rsidR="003D432E" w:rsidRDefault="00844F3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Extraído del video de </w:t>
      </w:r>
      <w:proofErr w:type="spellStart"/>
      <w:r>
        <w:rPr>
          <w:rFonts w:ascii="Times New Roman" w:eastAsia="Times New Roman" w:hAnsi="Times New Roman" w:cs="Times New Roman"/>
          <w:sz w:val="20"/>
          <w:szCs w:val="20"/>
        </w:rPr>
        <w:t>Victor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Kowalski</w:t>
      </w:r>
      <w:proofErr w:type="spellEnd"/>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color w:val="0000FF"/>
            <w:sz w:val="20"/>
            <w:szCs w:val="20"/>
            <w:u w:val="single"/>
          </w:rPr>
          <w:t>https://www.youtube.com/watch?v=IynP8wyXVwc&amp;feature=youtu.be</w:t>
        </w:r>
      </w:hyperlink>
    </w:p>
  </w:footnote>
  <w:footnote w:id="12">
    <w:p w:rsidR="003D432E" w:rsidRDefault="00844F33">
      <w:pPr>
        <w:spacing w:after="0" w:line="240" w:lineRule="auto"/>
        <w:rPr>
          <w:sz w:val="20"/>
          <w:szCs w:val="20"/>
        </w:rPr>
      </w:pPr>
      <w:r>
        <w:rPr>
          <w:vertAlign w:val="superscript"/>
        </w:rPr>
        <w:footnoteRef/>
      </w:r>
      <w:r>
        <w:rPr>
          <w:sz w:val="20"/>
          <w:szCs w:val="20"/>
        </w:rPr>
        <w:t xml:space="preserve"> </w:t>
      </w:r>
      <w:proofErr w:type="spellStart"/>
      <w:r>
        <w:rPr>
          <w:rFonts w:ascii="Arial" w:eastAsia="Arial" w:hAnsi="Arial" w:cs="Arial"/>
          <w:color w:val="222222"/>
          <w:sz w:val="20"/>
          <w:szCs w:val="20"/>
          <w:highlight w:val="white"/>
        </w:rPr>
        <w:t>Moitre</w:t>
      </w:r>
      <w:proofErr w:type="spellEnd"/>
      <w:r>
        <w:rPr>
          <w:rFonts w:ascii="Arial" w:eastAsia="Arial" w:hAnsi="Arial" w:cs="Arial"/>
          <w:color w:val="222222"/>
          <w:sz w:val="20"/>
          <w:szCs w:val="20"/>
          <w:highlight w:val="white"/>
        </w:rPr>
        <w:t xml:space="preserve">, D., </w:t>
      </w:r>
      <w:proofErr w:type="spellStart"/>
      <w:r>
        <w:rPr>
          <w:rFonts w:ascii="Arial" w:eastAsia="Arial" w:hAnsi="Arial" w:cs="Arial"/>
          <w:color w:val="222222"/>
          <w:sz w:val="20"/>
          <w:szCs w:val="20"/>
          <w:highlight w:val="white"/>
        </w:rPr>
        <w:t>Michelaoud</w:t>
      </w:r>
      <w:proofErr w:type="spellEnd"/>
      <w:r>
        <w:rPr>
          <w:rFonts w:ascii="Arial" w:eastAsia="Arial" w:hAnsi="Arial" w:cs="Arial"/>
          <w:color w:val="222222"/>
          <w:sz w:val="20"/>
          <w:szCs w:val="20"/>
          <w:highlight w:val="white"/>
        </w:rPr>
        <w:t xml:space="preserve">, O. M., Aguirre, R., De Marco, L., </w:t>
      </w:r>
      <w:proofErr w:type="spellStart"/>
      <w:r>
        <w:rPr>
          <w:rFonts w:ascii="Arial" w:eastAsia="Arial" w:hAnsi="Arial" w:cs="Arial"/>
          <w:color w:val="222222"/>
          <w:sz w:val="20"/>
          <w:szCs w:val="20"/>
          <w:highlight w:val="white"/>
        </w:rPr>
        <w:t>Gomez</w:t>
      </w:r>
      <w:proofErr w:type="spellEnd"/>
      <w:r>
        <w:rPr>
          <w:rFonts w:ascii="Arial" w:eastAsia="Arial" w:hAnsi="Arial" w:cs="Arial"/>
          <w:color w:val="222222"/>
          <w:sz w:val="20"/>
          <w:szCs w:val="20"/>
          <w:highlight w:val="white"/>
        </w:rPr>
        <w:t>, G., Albina, H.</w:t>
      </w:r>
      <w:proofErr w:type="gramStart"/>
      <w:r>
        <w:rPr>
          <w:rFonts w:ascii="Arial" w:eastAsia="Arial" w:hAnsi="Arial" w:cs="Arial"/>
          <w:color w:val="222222"/>
          <w:sz w:val="20"/>
          <w:szCs w:val="20"/>
          <w:highlight w:val="white"/>
        </w:rPr>
        <w:t>, ...</w:t>
      </w:r>
      <w:proofErr w:type="gramEnd"/>
      <w:r>
        <w:rPr>
          <w:rFonts w:ascii="Arial" w:eastAsia="Arial" w:hAnsi="Arial" w:cs="Arial"/>
          <w:color w:val="222222"/>
          <w:sz w:val="20"/>
          <w:szCs w:val="20"/>
          <w:highlight w:val="white"/>
        </w:rPr>
        <w:t xml:space="preserve"> &amp;</w:t>
      </w:r>
      <w:r>
        <w:rPr>
          <w:rFonts w:ascii="Arial" w:eastAsia="Arial" w:hAnsi="Arial" w:cs="Arial"/>
          <w:color w:val="222222"/>
          <w:sz w:val="20"/>
          <w:szCs w:val="20"/>
          <w:highlight w:val="white"/>
        </w:rPr>
        <w:t xml:space="preserve"> González, M. (2000). Manual de acreditación para carreras de ingeniería en la República Argentina.</w:t>
      </w:r>
    </w:p>
  </w:footnote>
  <w:footnote w:id="13">
    <w:p w:rsidR="003D432E" w:rsidRDefault="00844F3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Documento elaborado por CONFEDI –Oro Verde 2017</w:t>
      </w:r>
    </w:p>
  </w:footnote>
  <w:footnote w:id="14">
    <w:p w:rsidR="003D432E" w:rsidRDefault="00844F3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Extraído del video de </w:t>
      </w:r>
      <w:proofErr w:type="spellStart"/>
      <w:r>
        <w:rPr>
          <w:rFonts w:ascii="Times New Roman" w:eastAsia="Times New Roman" w:hAnsi="Times New Roman" w:cs="Times New Roman"/>
          <w:color w:val="000000"/>
          <w:sz w:val="20"/>
          <w:szCs w:val="20"/>
        </w:rPr>
        <w:t>Victor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Kowalski</w:t>
      </w:r>
      <w:proofErr w:type="spellEnd"/>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000FF"/>
            <w:sz w:val="20"/>
            <w:szCs w:val="20"/>
            <w:u w:val="single"/>
          </w:rPr>
          <w:t>https://www.youtube.com/watch?v=IynP8wyXVwc&amp;feature=youtu.be</w:t>
        </w:r>
      </w:hyperlink>
    </w:p>
  </w:footnote>
  <w:footnote w:id="15">
    <w:p w:rsidR="003D432E" w:rsidRDefault="00844F33">
      <w:pPr>
        <w:spacing w:after="0" w:line="240" w:lineRule="auto"/>
        <w:ind w:left="708"/>
        <w:rPr>
          <w:b/>
          <w:sz w:val="20"/>
          <w:szCs w:val="20"/>
        </w:rPr>
      </w:pPr>
      <w:r>
        <w:rPr>
          <w:vertAlign w:val="superscript"/>
        </w:rPr>
        <w:footnoteRef/>
      </w:r>
      <w:r>
        <w:rPr>
          <w:b/>
          <w:sz w:val="20"/>
          <w:szCs w:val="20"/>
        </w:rPr>
        <w:t>REFERENCIAS</w:t>
      </w:r>
    </w:p>
    <w:p w:rsidR="003D432E" w:rsidRDefault="00844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color w:val="0000FF"/>
            <w:sz w:val="20"/>
            <w:szCs w:val="20"/>
            <w:u w:val="single"/>
          </w:rPr>
          <w:t>https://www.canal-ar.com.ar/26016-El-Libro</w:t>
        </w:r>
        <w:r>
          <w:rPr>
            <w:rFonts w:ascii="Times New Roman" w:eastAsia="Times New Roman" w:hAnsi="Times New Roman" w:cs="Times New Roman"/>
            <w:color w:val="0000FF"/>
            <w:sz w:val="20"/>
            <w:szCs w:val="20"/>
            <w:u w:val="single"/>
          </w:rPr>
          <w:t>-Rojo-un-hito-de-singular-trascendencia-para-la-Educacion-en-Ingenieria.html</w:t>
        </w:r>
      </w:hyperlink>
    </w:p>
  </w:footnote>
  <w:footnote w:id="16">
    <w:p w:rsidR="003D432E" w:rsidRDefault="00844F33">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Aguerrondo</w:t>
      </w:r>
      <w:proofErr w:type="spellEnd"/>
      <w:r>
        <w:rPr>
          <w:rFonts w:ascii="Times New Roman" w:eastAsia="Times New Roman" w:hAnsi="Times New Roman" w:cs="Times New Roman"/>
          <w:sz w:val="20"/>
          <w:szCs w:val="20"/>
        </w:rPr>
        <w:t>, I. (2009). Conocimiento complejo y competencias educativas. UNESCO.</w:t>
      </w:r>
    </w:p>
  </w:footnote>
  <w:footnote w:id="17">
    <w:p w:rsidR="003D432E" w:rsidRDefault="00844F33">
      <w:pPr>
        <w:pBdr>
          <w:top w:val="nil"/>
          <w:left w:val="nil"/>
          <w:bottom w:val="nil"/>
          <w:right w:val="nil"/>
          <w:between w:val="nil"/>
        </w:pBd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Propuesta de estándares de segunda generación para la acreditación de carreras de ingeniería en la República A</w:t>
      </w:r>
      <w:r>
        <w:rPr>
          <w:rFonts w:ascii="Times New Roman" w:eastAsia="Times New Roman" w:hAnsi="Times New Roman" w:cs="Times New Roman"/>
          <w:sz w:val="20"/>
          <w:szCs w:val="20"/>
        </w:rPr>
        <w:t>rgentina “Libro Rojo de CONFEDI” - Aprobado por la Asamblea del Consejo Federal de Decanos de Ingeniería de la República Argentina. Rosario - 1 de junio de 2018</w:t>
      </w:r>
    </w:p>
    <w:p w:rsidR="003D432E" w:rsidRDefault="003D432E">
      <w:pPr>
        <w:pBdr>
          <w:top w:val="nil"/>
          <w:left w:val="nil"/>
          <w:bottom w:val="nil"/>
          <w:right w:val="nil"/>
          <w:between w:val="nil"/>
        </w:pBdr>
        <w:spacing w:after="0" w:line="240" w:lineRule="auto"/>
        <w:rPr>
          <w:rFonts w:ascii="Times New Roman" w:eastAsia="Times New Roman" w:hAnsi="Times New Roman" w:cs="Times New Roman"/>
          <w:sz w:val="20"/>
          <w:szCs w:val="20"/>
        </w:rPr>
      </w:pPr>
    </w:p>
  </w:footnote>
  <w:footnote w:id="18">
    <w:p w:rsidR="003D432E" w:rsidRDefault="00844F3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IBIDEM</w:t>
      </w:r>
    </w:p>
  </w:footnote>
  <w:footnote w:id="19">
    <w:p w:rsidR="003D432E" w:rsidRDefault="00844F33">
      <w:pPr>
        <w:spacing w:after="0" w:line="240" w:lineRule="auto"/>
        <w:rPr>
          <w:sz w:val="20"/>
          <w:szCs w:val="20"/>
        </w:rPr>
      </w:pPr>
      <w:r>
        <w:rPr>
          <w:vertAlign w:val="superscript"/>
        </w:rPr>
        <w:footnoteRef/>
      </w:r>
      <w:r>
        <w:rPr>
          <w:sz w:val="20"/>
          <w:szCs w:val="20"/>
        </w:rPr>
        <w:t xml:space="preserve"> </w:t>
      </w:r>
      <w:r>
        <w:rPr>
          <w:rFonts w:ascii="Arial" w:eastAsia="Arial" w:hAnsi="Arial" w:cs="Arial"/>
          <w:color w:val="222222"/>
          <w:sz w:val="20"/>
          <w:szCs w:val="20"/>
          <w:highlight w:val="white"/>
        </w:rPr>
        <w:t xml:space="preserve">Torres Gordillo, J. J., &amp; Perera Rodríguez, V. H. (2010). La rúbrica como instrumento pedagógico para la </w:t>
      </w:r>
      <w:proofErr w:type="spellStart"/>
      <w:r>
        <w:rPr>
          <w:rFonts w:ascii="Arial" w:eastAsia="Arial" w:hAnsi="Arial" w:cs="Arial"/>
          <w:color w:val="222222"/>
          <w:sz w:val="20"/>
          <w:szCs w:val="20"/>
          <w:highlight w:val="white"/>
        </w:rPr>
        <w:t>tutorización</w:t>
      </w:r>
      <w:proofErr w:type="spellEnd"/>
      <w:r>
        <w:rPr>
          <w:rFonts w:ascii="Arial" w:eastAsia="Arial" w:hAnsi="Arial" w:cs="Arial"/>
          <w:color w:val="222222"/>
          <w:sz w:val="20"/>
          <w:szCs w:val="20"/>
          <w:highlight w:val="white"/>
        </w:rPr>
        <w:t xml:space="preserve"> y evaluación de los aprendizajes en </w:t>
      </w:r>
      <w:r>
        <w:rPr>
          <w:rFonts w:ascii="Arial" w:eastAsia="Arial" w:hAnsi="Arial" w:cs="Arial"/>
          <w:color w:val="222222"/>
          <w:sz w:val="20"/>
          <w:szCs w:val="20"/>
          <w:highlight w:val="white"/>
        </w:rPr>
        <w:t xml:space="preserve">el foro online en educación superior. </w:t>
      </w:r>
      <w:r>
        <w:rPr>
          <w:rFonts w:ascii="Arial" w:eastAsia="Arial" w:hAnsi="Arial" w:cs="Arial"/>
          <w:i/>
          <w:color w:val="222222"/>
          <w:sz w:val="20"/>
          <w:szCs w:val="20"/>
          <w:highlight w:val="white"/>
        </w:rPr>
        <w:t>Pixel-Bit</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36</w:t>
      </w:r>
      <w:r>
        <w:rPr>
          <w:rFonts w:ascii="Arial" w:eastAsia="Arial" w:hAnsi="Arial" w:cs="Arial"/>
          <w:color w:val="222222"/>
          <w:sz w:val="20"/>
          <w:szCs w:val="20"/>
          <w:highlight w:val="white"/>
        </w:rPr>
        <w:t>, 141-149.</w:t>
      </w:r>
    </w:p>
  </w:footnote>
  <w:footnote w:id="20">
    <w:p w:rsidR="003D432E" w:rsidRDefault="00844F3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Tobón </w:t>
      </w:r>
      <w:proofErr w:type="spellStart"/>
      <w:r>
        <w:rPr>
          <w:rFonts w:ascii="Times New Roman" w:eastAsia="Times New Roman" w:hAnsi="Times New Roman" w:cs="Times New Roman"/>
          <w:color w:val="000000"/>
          <w:sz w:val="20"/>
          <w:szCs w:val="20"/>
        </w:rPr>
        <w:t>Tobón</w:t>
      </w:r>
      <w:proofErr w:type="spellEnd"/>
      <w:r>
        <w:rPr>
          <w:rFonts w:ascii="Times New Roman" w:eastAsia="Times New Roman" w:hAnsi="Times New Roman" w:cs="Times New Roman"/>
          <w:color w:val="000000"/>
          <w:sz w:val="20"/>
          <w:szCs w:val="20"/>
        </w:rPr>
        <w:t xml:space="preserve">, Pimienta Prieto y García Fraile, (2010) - Extraído del video de </w:t>
      </w:r>
      <w:proofErr w:type="spellStart"/>
      <w:r>
        <w:rPr>
          <w:rFonts w:ascii="Times New Roman" w:eastAsia="Times New Roman" w:hAnsi="Times New Roman" w:cs="Times New Roman"/>
          <w:color w:val="000000"/>
          <w:sz w:val="20"/>
          <w:szCs w:val="20"/>
        </w:rPr>
        <w:t>Victor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Kowalski</w:t>
      </w:r>
      <w:proofErr w:type="spellEnd"/>
      <w:r>
        <w:rPr>
          <w:rFonts w:ascii="Times New Roman" w:eastAsia="Times New Roman" w:hAnsi="Times New Roman" w:cs="Times New Roman"/>
          <w:color w:val="000000"/>
          <w:sz w:val="20"/>
          <w:szCs w:val="20"/>
        </w:rPr>
        <w:t xml:space="preserve"> </w:t>
      </w:r>
      <w:hyperlink r:id="rId7">
        <w:r>
          <w:rPr>
            <w:rFonts w:ascii="Times New Roman" w:eastAsia="Times New Roman" w:hAnsi="Times New Roman" w:cs="Times New Roman"/>
            <w:color w:val="0000FF"/>
            <w:sz w:val="20"/>
            <w:szCs w:val="20"/>
            <w:u w:val="single"/>
          </w:rPr>
          <w:t>https://www.youtube.com/watch?v=IynP8wyXVwc&amp;feature=youtu.be</w:t>
        </w:r>
      </w:hyperlink>
    </w:p>
    <w:p w:rsidR="003D432E" w:rsidRDefault="003D432E">
      <w:pPr>
        <w:pBdr>
          <w:top w:val="nil"/>
          <w:left w:val="nil"/>
          <w:bottom w:val="nil"/>
          <w:right w:val="nil"/>
          <w:between w:val="nil"/>
        </w:pBdr>
        <w:spacing w:after="0" w:line="240" w:lineRule="auto"/>
        <w:rPr>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D432E"/>
    <w:rsid w:val="00227FE9"/>
    <w:rsid w:val="00297D6E"/>
    <w:rsid w:val="003D432E"/>
    <w:rsid w:val="00844F33"/>
    <w:rsid w:val="00FB79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B7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B7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ng.unlp.edu.ar/sitio/institucional/difusion/archivos/LIBRO_ROJO_DE_CONFEDI_estandares_de_segunda_generacion.pdf" TargetMode="External"/><Relationship Id="rId7" Type="http://schemas.openxmlformats.org/officeDocument/2006/relationships/hyperlink" Target="https://www.youtube.com/watch?v=IynP8wyXVwc&amp;feature=youtu.be" TargetMode="External"/><Relationship Id="rId2" Type="http://schemas.openxmlformats.org/officeDocument/2006/relationships/hyperlink" Target="https://www.ing.unlp.edu.ar/sitio/institucional/difusion/archivos/LIBRO_ROJO_DE_CONFEDI_estandares_de_segunda_generacion.pdf" TargetMode="External"/><Relationship Id="rId1" Type="http://schemas.openxmlformats.org/officeDocument/2006/relationships/hyperlink" Target="https://www.ufasta.edu.ar/ingenieria/2018/05/28/sobre-las-nuevas-actividades-reservadas-profesionales/" TargetMode="External"/><Relationship Id="rId6" Type="http://schemas.openxmlformats.org/officeDocument/2006/relationships/hyperlink" Target="https://www.canal-ar.com.ar/26016-El-Libro-Rojo-un-hito-de-singular-trascendencia-para-la-Educacion-en-Ingenieria.html" TargetMode="External"/><Relationship Id="rId5" Type="http://schemas.openxmlformats.org/officeDocument/2006/relationships/hyperlink" Target="https://www.youtube.com/watch?v=IynP8wyXVwc&amp;feature=youtu.be" TargetMode="External"/><Relationship Id="rId4" Type="http://schemas.openxmlformats.org/officeDocument/2006/relationships/hyperlink" Target="https://www.youtube.com/watch?v=IynP8wyXVw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2018-11-21T14:06:00Z</dcterms:created>
  <dcterms:modified xsi:type="dcterms:W3CDTF">2018-11-21T14:06:00Z</dcterms:modified>
</cp:coreProperties>
</file>